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402FB9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19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C865C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pat-1196 60 ANS </w:t>
      </w:r>
    </w:p>
    <w:p w:rsidR="00EB2A23" w:rsidRDefault="00402FB9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7942F9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7942F9">
        <w:rPr>
          <w:rFonts w:ascii="Georgia" w:hAnsi="Georgia"/>
          <w:bCs/>
          <w:color w:val="000000"/>
          <w:sz w:val="24"/>
        </w:rPr>
        <w:t xml:space="preserve">c </w:t>
      </w:r>
      <w:r>
        <w:rPr>
          <w:rFonts w:ascii="Georgia" w:hAnsi="Georgia"/>
          <w:bCs/>
          <w:color w:val="000000"/>
          <w:sz w:val="24"/>
        </w:rPr>
        <w:t xml:space="preserve">de l’ACR. </w:t>
      </w:r>
    </w:p>
    <w:p w:rsidR="0096769E" w:rsidRDefault="0096769E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désorganisation architecturale.</w:t>
      </w:r>
    </w:p>
    <w:p w:rsidR="0096769E" w:rsidRDefault="0096769E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7942F9" w:rsidRDefault="007942F9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942F9" w:rsidRDefault="007942F9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  aux centres graisseux d’adiponécrose.</w:t>
      </w:r>
    </w:p>
    <w:p w:rsidR="007942F9" w:rsidRDefault="007942F9" w:rsidP="007942F9">
      <w:pPr>
        <w:rPr>
          <w:rFonts w:ascii="Georgia" w:hAnsi="Georgia"/>
          <w:bCs/>
          <w:color w:val="000000"/>
          <w:sz w:val="24"/>
        </w:rPr>
      </w:pPr>
    </w:p>
    <w:p w:rsidR="007942F9" w:rsidRDefault="007942F9" w:rsidP="007942F9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7942F9">
        <w:rPr>
          <w:rFonts w:ascii="Georgia" w:hAnsi="Georgia"/>
          <w:bCs/>
          <w:color w:val="000000"/>
          <w:sz w:val="24"/>
        </w:rPr>
        <w:t>de la trame</w:t>
      </w:r>
      <w:r>
        <w:rPr>
          <w:rFonts w:ascii="Georgia" w:hAnsi="Georgia"/>
          <w:bCs/>
          <w:color w:val="000000"/>
          <w:sz w:val="24"/>
        </w:rPr>
        <w:t xml:space="preserve"> conjonctivo-glandulaire.</w:t>
      </w:r>
    </w:p>
    <w:p w:rsidR="007942F9" w:rsidRDefault="007942F9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d’une masse hypoéchogène bien circonscrite régulière  du QSE gauche de 7,8x4,8 mm avec un discret renforcement postérieur, compatible avec un adénofibrome.</w:t>
      </w:r>
    </w:p>
    <w:p w:rsidR="007942F9" w:rsidRDefault="007942F9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7942F9" w:rsidRDefault="007942F9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942F9" w:rsidRDefault="007942F9" w:rsidP="007942F9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 de morphologie conservée, d’allure inflammatoire.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7942F9" w:rsidRDefault="0096769E" w:rsidP="007942F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7942F9">
        <w:rPr>
          <w:rFonts w:ascii="Georgia" w:hAnsi="Georgia"/>
          <w:b/>
          <w:bCs/>
          <w:i/>
          <w:color w:val="000000"/>
          <w:sz w:val="24"/>
        </w:rPr>
        <w:t xml:space="preserve"> en faveur d’une masse du QSE gauche à sémiologie bénigne, faisant  classer l’examen BI-RADS 3 de l'ACR à gauche.</w:t>
      </w:r>
    </w:p>
    <w:p w:rsidR="007942F9" w:rsidRDefault="007942F9" w:rsidP="007942F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du sein droit classé BI-RADS 1 de l'ACR.</w:t>
      </w:r>
    </w:p>
    <w:p w:rsidR="007942F9" w:rsidRDefault="007942F9" w:rsidP="007942F9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un an.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467" w:rsidRDefault="00013467" w:rsidP="00FF41A6">
      <w:r>
        <w:separator/>
      </w:r>
    </w:p>
  </w:endnote>
  <w:endnote w:type="continuationSeparator" w:id="0">
    <w:p w:rsidR="00013467" w:rsidRDefault="00013467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467" w:rsidRDefault="00013467" w:rsidP="00FF41A6">
      <w:r>
        <w:separator/>
      </w:r>
    </w:p>
  </w:footnote>
  <w:footnote w:type="continuationSeparator" w:id="0">
    <w:p w:rsidR="00013467" w:rsidRDefault="00013467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467"/>
    <w:rsid w:val="00013B16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2FB9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486C"/>
    <w:rsid w:val="007571A5"/>
    <w:rsid w:val="007942F9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73355"/>
    <w:rsid w:val="00C7676D"/>
    <w:rsid w:val="00C865C2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6A5D4B-650C-4F3D-A4FC-C8EC689B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1113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2023-03-19T11:40:00Z</cp:lastPrinted>
  <dcterms:created xsi:type="dcterms:W3CDTF">2023-09-19T19:14:00Z</dcterms:created>
  <dcterms:modified xsi:type="dcterms:W3CDTF">2023-09-19T19:14:00Z</dcterms:modified>
</cp:coreProperties>
</file>