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E519D5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22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983053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pat-124 68 ANS </w:t>
      </w:r>
    </w:p>
    <w:p w:rsidR="00F937D9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E519D5" w:rsidP="0056225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A90B0A" w:rsidRDefault="00B00E2E" w:rsidP="00A90B0A">
      <w:pPr>
        <w:ind w:firstLine="708"/>
        <w:rPr>
          <w:b/>
          <w:i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  <w:r w:rsidR="00A90B0A">
        <w:rPr>
          <w:b/>
          <w:bCs/>
          <w:i/>
          <w:color w:val="000000"/>
          <w:sz w:val="24"/>
        </w:rPr>
        <w:t xml:space="preserve">Mammographie bilatérale, </w:t>
      </w:r>
    </w:p>
    <w:p w:rsidR="00A90B0A" w:rsidRDefault="00A90B0A" w:rsidP="00A90B0A">
      <w:pPr>
        <w:rPr>
          <w:b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 Seins à trame fibro-graisseuse hétérogène type b de l’ACR.</w:t>
      </w:r>
    </w:p>
    <w:p w:rsidR="00F937D9" w:rsidRDefault="00F937D9" w:rsidP="00A90B0A">
      <w:pPr>
        <w:rPr>
          <w:bCs/>
          <w:color w:val="000000"/>
          <w:sz w:val="24"/>
        </w:rPr>
      </w:pPr>
    </w:p>
    <w:p w:rsidR="00F937D9" w:rsidRDefault="00F937D9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Asymétrie de densité focale au dépend de la région rétro-aréolaire et QSE droit.</w:t>
      </w:r>
    </w:p>
    <w:p w:rsidR="00F937D9" w:rsidRDefault="00F937D9" w:rsidP="00A90B0A">
      <w:pPr>
        <w:rPr>
          <w:bCs/>
          <w:color w:val="000000"/>
          <w:sz w:val="24"/>
        </w:rPr>
      </w:pPr>
    </w:p>
    <w:p w:rsidR="00F937D9" w:rsidRDefault="00F937D9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Calcifications vasculaires pariétales athéromateuses bilatérales.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56225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F937D9" w:rsidRDefault="00F937D9" w:rsidP="00F937D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L’asymétrie sus-décrite correspond à une ectasie canalaire rétro-aréolaire et segmentaire droite, à paroi épaissie, à contenu anéchogène, finement échogène, hétérogène non vascularisée au Doppler, entourée d’une discrètement densification de la graisse environnante.</w:t>
      </w:r>
    </w:p>
    <w:p w:rsidR="00F937D9" w:rsidRDefault="00F937D9" w:rsidP="00F937D9">
      <w:pPr>
        <w:rPr>
          <w:bCs/>
          <w:color w:val="000000"/>
          <w:sz w:val="24"/>
        </w:rPr>
      </w:pPr>
    </w:p>
    <w:p w:rsidR="00F937D9" w:rsidRDefault="00F937D9" w:rsidP="00F937D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Densification de la graisse sous cutanée para-aréolaire externe droite.</w:t>
      </w:r>
    </w:p>
    <w:p w:rsidR="00F937D9" w:rsidRDefault="00F937D9" w:rsidP="00F937D9">
      <w:pPr>
        <w:rPr>
          <w:bCs/>
          <w:color w:val="000000"/>
          <w:sz w:val="24"/>
        </w:rPr>
      </w:pPr>
    </w:p>
    <w:p w:rsidR="00F937D9" w:rsidRDefault="00F937D9" w:rsidP="00F937D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Epaississement du revêtement cutané mammaire para-aréolaire externe droit.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F937D9" w:rsidP="00F937D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Ectasie canalaire rétro-aréolaire gauche à paroi fine régulier, à contenu homogène, anéchogène.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F937D9" w:rsidP="00F937D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Adénopathie axillaire droite à cortex épais, à centre graisseux de 10x7 mm.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A90B0A" w:rsidRDefault="00A90B0A" w:rsidP="005622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F937D9">
        <w:rPr>
          <w:b/>
          <w:bCs/>
          <w:i/>
          <w:color w:val="000000"/>
          <w:sz w:val="24"/>
        </w:rPr>
        <w:t>en faveur d’une mastite focale droite secondaire vraisemblablement à une galactophorite homolatérale.</w:t>
      </w:r>
    </w:p>
    <w:p w:rsidR="00F937D9" w:rsidRDefault="00F937D9" w:rsidP="00F93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Adénopathie axillaire droite d’allure inflammatoire.</w:t>
      </w:r>
    </w:p>
    <w:p w:rsidR="00F937D9" w:rsidRDefault="00F937D9" w:rsidP="00F93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Ectasie canalaire simple gauche.</w:t>
      </w:r>
    </w:p>
    <w:p w:rsidR="00A90B0A" w:rsidRDefault="00A90B0A" w:rsidP="005622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562250">
        <w:rPr>
          <w:b/>
          <w:bCs/>
          <w:i/>
          <w:color w:val="000000"/>
          <w:sz w:val="24"/>
        </w:rPr>
        <w:t>4</w:t>
      </w:r>
      <w:r>
        <w:rPr>
          <w:b/>
          <w:bCs/>
          <w:i/>
          <w:color w:val="000000"/>
          <w:sz w:val="24"/>
        </w:rPr>
        <w:t>de l’ACR</w:t>
      </w:r>
      <w:r w:rsidR="00562250">
        <w:rPr>
          <w:b/>
          <w:bCs/>
          <w:i/>
          <w:color w:val="000000"/>
          <w:sz w:val="24"/>
        </w:rPr>
        <w:t xml:space="preserve"> à droite et 2 à gauche</w:t>
      </w:r>
      <w:r>
        <w:rPr>
          <w:b/>
          <w:bCs/>
          <w:i/>
          <w:color w:val="000000"/>
          <w:sz w:val="24"/>
        </w:rPr>
        <w:t>.</w:t>
      </w:r>
    </w:p>
    <w:p w:rsidR="00EB2A23" w:rsidRPr="00562250" w:rsidRDefault="00562250" w:rsidP="005622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</w:rPr>
        <w:t>A recontrôler après traitement.</w:t>
      </w:r>
    </w:p>
    <w:sectPr w:rsidR="00EB2A23" w:rsidRPr="00562250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1765" w:rsidRDefault="00C01765" w:rsidP="00FF41A6">
      <w:r>
        <w:separator/>
      </w:r>
    </w:p>
  </w:endnote>
  <w:endnote w:type="continuationSeparator" w:id="0">
    <w:p w:rsidR="00C01765" w:rsidRDefault="00C01765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37D9" w:rsidRDefault="00F937D9" w:rsidP="00F515B5">
    <w:pPr>
      <w:jc w:val="center"/>
      <w:rPr>
        <w:rFonts w:eastAsia="Calibri"/>
        <w:i/>
        <w:iCs/>
        <w:sz w:val="18"/>
        <w:szCs w:val="18"/>
      </w:rPr>
    </w:pPr>
  </w:p>
  <w:p w:rsidR="00F937D9" w:rsidRDefault="00F937D9" w:rsidP="00F515B5">
    <w:pPr>
      <w:tabs>
        <w:tab w:val="center" w:pos="4536"/>
        <w:tab w:val="right" w:pos="9072"/>
      </w:tabs>
      <w:jc w:val="center"/>
    </w:pPr>
  </w:p>
  <w:p w:rsidR="00F937D9" w:rsidRPr="00F515B5" w:rsidRDefault="00F937D9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1765" w:rsidRDefault="00C01765" w:rsidP="00FF41A6">
      <w:r>
        <w:separator/>
      </w:r>
    </w:p>
  </w:footnote>
  <w:footnote w:type="continuationSeparator" w:id="0">
    <w:p w:rsidR="00C01765" w:rsidRDefault="00C01765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37D9" w:rsidRDefault="00F937D9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F937D9" w:rsidRPr="00426781" w:rsidRDefault="00F937D9" w:rsidP="00FF41A6">
    <w:pPr>
      <w:pStyle w:val="NoSpacing"/>
      <w:jc w:val="center"/>
      <w:rPr>
        <w:rFonts w:ascii="Tw Cen MT" w:hAnsi="Tw Cen MT"/>
      </w:rPr>
    </w:pPr>
  </w:p>
  <w:p w:rsidR="00F937D9" w:rsidRDefault="00F937D9" w:rsidP="00FF41A6">
    <w:pPr>
      <w:pStyle w:val="NoSpacing"/>
      <w:jc w:val="center"/>
      <w:rPr>
        <w:rFonts w:ascii="Tw Cen MT" w:hAnsi="Tw Cen MT"/>
      </w:rPr>
    </w:pPr>
  </w:p>
  <w:p w:rsidR="00F937D9" w:rsidRPr="00D104DB" w:rsidRDefault="00F937D9" w:rsidP="00FF41A6">
    <w:pPr>
      <w:pStyle w:val="NoSpacing"/>
      <w:jc w:val="center"/>
      <w:rPr>
        <w:sz w:val="16"/>
        <w:szCs w:val="16"/>
      </w:rPr>
    </w:pPr>
  </w:p>
  <w:p w:rsidR="00F937D9" w:rsidRDefault="00F937D9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7A8F"/>
    <w:rsid w:val="00136EEF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62250"/>
    <w:rsid w:val="006925A3"/>
    <w:rsid w:val="006A5983"/>
    <w:rsid w:val="006E396B"/>
    <w:rsid w:val="007571A5"/>
    <w:rsid w:val="007F2AFE"/>
    <w:rsid w:val="008B1520"/>
    <w:rsid w:val="00915587"/>
    <w:rsid w:val="00983053"/>
    <w:rsid w:val="00991837"/>
    <w:rsid w:val="00A11F2B"/>
    <w:rsid w:val="00A47C29"/>
    <w:rsid w:val="00A76F00"/>
    <w:rsid w:val="00A90B0A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01765"/>
    <w:rsid w:val="00C7676D"/>
    <w:rsid w:val="00CD057F"/>
    <w:rsid w:val="00CE2491"/>
    <w:rsid w:val="00D159C3"/>
    <w:rsid w:val="00D77CF5"/>
    <w:rsid w:val="00DC7E65"/>
    <w:rsid w:val="00DE3E17"/>
    <w:rsid w:val="00E25639"/>
    <w:rsid w:val="00E31EF8"/>
    <w:rsid w:val="00E519D5"/>
    <w:rsid w:val="00EB2A23"/>
    <w:rsid w:val="00EE4ACF"/>
    <w:rsid w:val="00F45755"/>
    <w:rsid w:val="00F515B5"/>
    <w:rsid w:val="00F7627E"/>
    <w:rsid w:val="00F937D9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AF66E1E-D092-4448-822B-EC301C443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1485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2023-07-22T12:52:00Z</cp:lastPrinted>
  <dcterms:created xsi:type="dcterms:W3CDTF">2023-09-18T22:07:00Z</dcterms:created>
  <dcterms:modified xsi:type="dcterms:W3CDTF">2023-09-18T22:07:00Z</dcterms:modified>
</cp:coreProperties>
</file>