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5689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240F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pat-136 83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F5689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C41EB1" w:rsidRDefault="00C41EB1" w:rsidP="00A90B0A">
      <w:pPr>
        <w:rPr>
          <w:bCs/>
          <w:color w:val="000000"/>
          <w:sz w:val="24"/>
        </w:rPr>
      </w:pPr>
    </w:p>
    <w:p w:rsidR="00C41EB1" w:rsidRDefault="00C41EB1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haute densité homogène, sans microcalcifications en son sein, de forme et de contours irréguliers, siégeant au niveau du QSE droit.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C41EB1" w:rsidRDefault="00C41EB1" w:rsidP="00C41E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 décrite correspond à une formation hypoéchogène hétérogène atténuante par endroit intéressant le QSE droit de forme et de contours irréguliers, mesurant 71x33mm de grand axe, infiltrant le </w:t>
      </w:r>
      <w:r w:rsidR="00CB1B15">
        <w:rPr>
          <w:bCs/>
          <w:color w:val="000000"/>
          <w:sz w:val="24"/>
        </w:rPr>
        <w:t>revêtement</w:t>
      </w:r>
      <w:r>
        <w:rPr>
          <w:bCs/>
          <w:color w:val="000000"/>
          <w:sz w:val="24"/>
        </w:rPr>
        <w:t xml:space="preserve"> cutané en regard.</w:t>
      </w:r>
    </w:p>
    <w:p w:rsidR="00C41EB1" w:rsidRDefault="00C41EB1" w:rsidP="00A90B0A">
      <w:pPr>
        <w:rPr>
          <w:bCs/>
          <w:color w:val="000000"/>
          <w:sz w:val="24"/>
        </w:rPr>
      </w:pPr>
    </w:p>
    <w:p w:rsidR="00C41EB1" w:rsidRDefault="00C41EB1" w:rsidP="00C41E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du creux axill</w:t>
      </w:r>
      <w:r w:rsidR="00CB1B15">
        <w:rPr>
          <w:bCs/>
          <w:color w:val="000000"/>
          <w:sz w:val="24"/>
        </w:rPr>
        <w:t>aire droit d’adénopathies ronde</w:t>
      </w:r>
      <w:r>
        <w:rPr>
          <w:bCs/>
          <w:color w:val="000000"/>
          <w:sz w:val="24"/>
        </w:rPr>
        <w:t>s</w:t>
      </w:r>
      <w:r w:rsidR="00CB1B15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hypoéchogène</w:t>
      </w:r>
      <w:r w:rsidR="00CB1B15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</w:t>
      </w:r>
      <w:r w:rsidR="00CB1B15">
        <w:rPr>
          <w:bCs/>
          <w:color w:val="000000"/>
          <w:sz w:val="24"/>
        </w:rPr>
        <w:t>hétérogènes</w:t>
      </w:r>
      <w:r>
        <w:rPr>
          <w:bCs/>
          <w:color w:val="000000"/>
          <w:sz w:val="24"/>
        </w:rPr>
        <w:t xml:space="preserve"> sans centre graisseux, dont la plus volumineuse mesure  de 40x22mm</w:t>
      </w:r>
      <w:r w:rsidR="00CB1B15">
        <w:rPr>
          <w:bCs/>
          <w:color w:val="000000"/>
          <w:sz w:val="24"/>
        </w:rPr>
        <w:t xml:space="preserve"> de grand axe.</w:t>
      </w:r>
    </w:p>
    <w:p w:rsidR="00C41EB1" w:rsidRDefault="00C41EB1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CB1B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41EB1">
        <w:rPr>
          <w:b/>
          <w:bCs/>
          <w:i/>
          <w:color w:val="000000"/>
          <w:sz w:val="24"/>
        </w:rPr>
        <w:t>en faveur d</w:t>
      </w:r>
      <w:r w:rsidR="00CB1B15">
        <w:rPr>
          <w:b/>
          <w:bCs/>
          <w:i/>
          <w:color w:val="000000"/>
          <w:sz w:val="24"/>
        </w:rPr>
        <w:t>’</w:t>
      </w:r>
      <w:r w:rsidR="00C41EB1">
        <w:rPr>
          <w:b/>
          <w:bCs/>
          <w:i/>
          <w:color w:val="000000"/>
          <w:sz w:val="24"/>
        </w:rPr>
        <w:t xml:space="preserve">une masse </w:t>
      </w:r>
      <w:r w:rsidR="00CB1B15">
        <w:rPr>
          <w:b/>
          <w:bCs/>
          <w:i/>
          <w:color w:val="000000"/>
          <w:sz w:val="24"/>
        </w:rPr>
        <w:t>m</w:t>
      </w:r>
      <w:r w:rsidR="00C41EB1">
        <w:rPr>
          <w:b/>
          <w:bCs/>
          <w:i/>
          <w:color w:val="000000"/>
          <w:sz w:val="24"/>
        </w:rPr>
        <w:t>ammaire droite de s</w:t>
      </w:r>
      <w:r w:rsidR="00CB1B15">
        <w:rPr>
          <w:b/>
          <w:bCs/>
          <w:i/>
          <w:color w:val="000000"/>
          <w:sz w:val="24"/>
        </w:rPr>
        <w:t>é</w:t>
      </w:r>
      <w:r w:rsidR="00C41EB1">
        <w:rPr>
          <w:b/>
          <w:bCs/>
          <w:i/>
          <w:color w:val="000000"/>
          <w:sz w:val="24"/>
        </w:rPr>
        <w:t>mi</w:t>
      </w:r>
      <w:r w:rsidR="00CB1B15">
        <w:rPr>
          <w:b/>
          <w:bCs/>
          <w:i/>
          <w:color w:val="000000"/>
          <w:sz w:val="24"/>
        </w:rPr>
        <w:t>o</w:t>
      </w:r>
      <w:r w:rsidR="00C41EB1">
        <w:rPr>
          <w:b/>
          <w:bCs/>
          <w:i/>
          <w:color w:val="000000"/>
          <w:sz w:val="24"/>
        </w:rPr>
        <w:t xml:space="preserve">logie maligne, </w:t>
      </w:r>
      <w:r w:rsidR="00CB1B15">
        <w:rPr>
          <w:b/>
          <w:bCs/>
          <w:i/>
          <w:color w:val="000000"/>
          <w:sz w:val="24"/>
        </w:rPr>
        <w:t>nécessitant</w:t>
      </w:r>
      <w:r w:rsidR="00C41EB1">
        <w:rPr>
          <w:b/>
          <w:bCs/>
          <w:i/>
          <w:color w:val="000000"/>
          <w:sz w:val="24"/>
        </w:rPr>
        <w:t xml:space="preserve"> une vérification </w:t>
      </w:r>
      <w:r w:rsidR="00CB1B15">
        <w:rPr>
          <w:b/>
          <w:bCs/>
          <w:i/>
          <w:color w:val="000000"/>
          <w:sz w:val="24"/>
        </w:rPr>
        <w:t>histologique</w:t>
      </w:r>
      <w:r w:rsidR="00C41EB1">
        <w:rPr>
          <w:b/>
          <w:bCs/>
          <w:i/>
          <w:color w:val="000000"/>
          <w:sz w:val="24"/>
        </w:rPr>
        <w:t xml:space="preserve"> par </w:t>
      </w:r>
      <w:r w:rsidR="00CB1B15">
        <w:rPr>
          <w:b/>
          <w:bCs/>
          <w:i/>
          <w:color w:val="000000"/>
          <w:sz w:val="24"/>
        </w:rPr>
        <w:t>microbiopsie</w:t>
      </w:r>
      <w:r w:rsidR="00C41EB1">
        <w:rPr>
          <w:b/>
          <w:bCs/>
          <w:i/>
          <w:color w:val="000000"/>
          <w:sz w:val="24"/>
        </w:rPr>
        <w:t xml:space="preserve"> associée à des adénopathies axillaires suspectes homolatérales, </w:t>
      </w:r>
      <w:r w:rsidR="00CB1B15">
        <w:rPr>
          <w:b/>
          <w:bCs/>
          <w:i/>
          <w:color w:val="000000"/>
          <w:sz w:val="24"/>
        </w:rPr>
        <w:t>nécessitant</w:t>
      </w:r>
      <w:r w:rsidR="00C41EB1">
        <w:rPr>
          <w:b/>
          <w:bCs/>
          <w:i/>
          <w:color w:val="000000"/>
          <w:sz w:val="24"/>
        </w:rPr>
        <w:t xml:space="preserve"> une vérification cytologique.  </w:t>
      </w:r>
    </w:p>
    <w:p w:rsidR="00A90B0A" w:rsidRDefault="00A90B0A" w:rsidP="00C41E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C41EB1">
        <w:rPr>
          <w:b/>
          <w:bCs/>
          <w:i/>
          <w:color w:val="000000"/>
          <w:sz w:val="24"/>
        </w:rPr>
        <w:t>5</w:t>
      </w:r>
      <w:r>
        <w:rPr>
          <w:b/>
          <w:bCs/>
          <w:i/>
          <w:color w:val="000000"/>
          <w:sz w:val="24"/>
        </w:rPr>
        <w:t xml:space="preserve"> de l’ACR</w:t>
      </w:r>
      <w:r w:rsidR="00C41EB1">
        <w:rPr>
          <w:b/>
          <w:bCs/>
          <w:i/>
          <w:color w:val="000000"/>
          <w:sz w:val="24"/>
        </w:rPr>
        <w:t xml:space="preserve"> à droite et 1 à gauche.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7FF" w:rsidRDefault="000637FF" w:rsidP="00FF41A6">
      <w:r>
        <w:separator/>
      </w:r>
    </w:p>
  </w:endnote>
  <w:endnote w:type="continuationSeparator" w:id="0">
    <w:p w:rsidR="000637FF" w:rsidRDefault="000637F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EB1" w:rsidRDefault="00C41EB1" w:rsidP="00F515B5">
    <w:pPr>
      <w:jc w:val="center"/>
      <w:rPr>
        <w:rFonts w:eastAsia="Calibri"/>
        <w:i/>
        <w:iCs/>
        <w:sz w:val="18"/>
        <w:szCs w:val="18"/>
      </w:rPr>
    </w:pPr>
  </w:p>
  <w:p w:rsidR="00C41EB1" w:rsidRDefault="00C41EB1" w:rsidP="00F515B5">
    <w:pPr>
      <w:tabs>
        <w:tab w:val="center" w:pos="4536"/>
        <w:tab w:val="right" w:pos="9072"/>
      </w:tabs>
      <w:jc w:val="center"/>
    </w:pPr>
  </w:p>
  <w:p w:rsidR="00C41EB1" w:rsidRPr="00F515B5" w:rsidRDefault="00C41EB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7FF" w:rsidRDefault="000637FF" w:rsidP="00FF41A6">
      <w:r>
        <w:separator/>
      </w:r>
    </w:p>
  </w:footnote>
  <w:footnote w:type="continuationSeparator" w:id="0">
    <w:p w:rsidR="000637FF" w:rsidRDefault="000637F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EB1" w:rsidRDefault="00C41EB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41EB1" w:rsidRPr="00426781" w:rsidRDefault="00C41EB1" w:rsidP="00FF41A6">
    <w:pPr>
      <w:pStyle w:val="NoSpacing"/>
      <w:jc w:val="center"/>
      <w:rPr>
        <w:rFonts w:ascii="Tw Cen MT" w:hAnsi="Tw Cen MT"/>
      </w:rPr>
    </w:pPr>
  </w:p>
  <w:p w:rsidR="00C41EB1" w:rsidRDefault="00C41EB1" w:rsidP="00FF41A6">
    <w:pPr>
      <w:pStyle w:val="NoSpacing"/>
      <w:jc w:val="center"/>
      <w:rPr>
        <w:rFonts w:ascii="Tw Cen MT" w:hAnsi="Tw Cen MT"/>
      </w:rPr>
    </w:pPr>
  </w:p>
  <w:p w:rsidR="00C41EB1" w:rsidRPr="00D104DB" w:rsidRDefault="00C41EB1" w:rsidP="00FF41A6">
    <w:pPr>
      <w:pStyle w:val="NoSpacing"/>
      <w:jc w:val="center"/>
      <w:rPr>
        <w:sz w:val="16"/>
        <w:szCs w:val="16"/>
      </w:rPr>
    </w:pPr>
  </w:p>
  <w:p w:rsidR="00C41EB1" w:rsidRDefault="00C41EB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637FF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D57F6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40FE"/>
    <w:rsid w:val="00C41EB1"/>
    <w:rsid w:val="00C7676D"/>
    <w:rsid w:val="00CB1B15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5689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1DD15B-1331-4651-94E0-9966D41E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2023-09-18T22:08:00Z</dcterms:created>
  <dcterms:modified xsi:type="dcterms:W3CDTF">2023-09-18T22:08:00Z</dcterms:modified>
</cp:coreProperties>
</file>