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460F5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juillet 2023</w:t>
      </w:r>
    </w:p>
    <w:p w:rsidR="00A74D1C" w:rsidRDefault="00A74D1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B4BD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pat-163 44 ANS </w:t>
      </w:r>
    </w:p>
    <w:p w:rsidR="00A74D1C" w:rsidRDefault="00EB2A23" w:rsidP="00A74D1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460F5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A74D1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fibro-glandulaire et graisseuse type </w:t>
      </w:r>
      <w:r w:rsidR="00A74D1C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A74D1C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A74D1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A74D1C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74D1C" w:rsidRDefault="00A74D1C" w:rsidP="00B32AB7">
      <w:pPr>
        <w:rPr>
          <w:bCs/>
          <w:color w:val="000000"/>
          <w:sz w:val="24"/>
        </w:rPr>
      </w:pPr>
    </w:p>
    <w:p w:rsidR="00A74D1C" w:rsidRDefault="00A74D1C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A74D1C" w:rsidRDefault="00A74D1C" w:rsidP="00B32AB7">
      <w:pPr>
        <w:rPr>
          <w:bCs/>
          <w:color w:val="000000"/>
          <w:sz w:val="24"/>
        </w:rPr>
      </w:pPr>
    </w:p>
    <w:p w:rsidR="00A74D1C" w:rsidRDefault="00A74D1C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A74D1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A74D1C">
        <w:rPr>
          <w:bCs/>
          <w:color w:val="000000"/>
          <w:sz w:val="24"/>
        </w:rPr>
        <w:t>, en dehors de ganglions de morphologie conservée, d'allure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A74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74D1C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lésion péjorative décelable ce jour.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9AF" w:rsidRDefault="00CD19AF" w:rsidP="00FF41A6">
      <w:r>
        <w:separator/>
      </w:r>
    </w:p>
  </w:endnote>
  <w:endnote w:type="continuationSeparator" w:id="0">
    <w:p w:rsidR="00CD19AF" w:rsidRDefault="00CD19A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9AF" w:rsidRDefault="00CD19AF" w:rsidP="00FF41A6">
      <w:r>
        <w:separator/>
      </w:r>
    </w:p>
  </w:footnote>
  <w:footnote w:type="continuationSeparator" w:id="0">
    <w:p w:rsidR="00CD19AF" w:rsidRDefault="00CD19A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60F57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B4BDE"/>
    <w:rsid w:val="00915587"/>
    <w:rsid w:val="0097545C"/>
    <w:rsid w:val="00991837"/>
    <w:rsid w:val="009C1CBF"/>
    <w:rsid w:val="00A11F2B"/>
    <w:rsid w:val="00A74D1C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CD19A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66C842-CCB1-430C-8B95-7EEB6C78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2023-09-18T22:10:00Z</dcterms:created>
  <dcterms:modified xsi:type="dcterms:W3CDTF">2023-09-18T22:10:00Z</dcterms:modified>
</cp:coreProperties>
</file>