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764D5C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24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358A1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pat-171 43 ANS </w:t>
      </w:r>
    </w:p>
    <w:p w:rsidR="00EB2A23" w:rsidRPr="00A66608" w:rsidRDefault="00764D5C" w:rsidP="00A6660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66608">
        <w:rPr>
          <w:b/>
          <w:i/>
          <w:iCs/>
          <w:color w:val="000000"/>
          <w:sz w:val="24"/>
        </w:rPr>
        <w:t>MAMMOGRAPHIE</w:t>
      </w:r>
      <w:r w:rsidR="00A66608" w:rsidRPr="00A66608">
        <w:rPr>
          <w:b/>
          <w:i/>
          <w:iCs/>
          <w:color w:val="000000"/>
          <w:sz w:val="24"/>
        </w:rPr>
        <w:t xml:space="preserve"> BILATERALE</w:t>
      </w:r>
      <w:r w:rsidR="00FA0815">
        <w:rPr>
          <w:b/>
          <w:i/>
          <w:iCs/>
          <w:color w:val="000000"/>
          <w:sz w:val="24"/>
        </w:rPr>
        <w:t>+TOMOSYNTHESE</w:t>
      </w:r>
    </w:p>
    <w:p w:rsidR="00A66608" w:rsidRDefault="00A66608">
      <w:pPr>
        <w:rPr>
          <w:b/>
          <w:color w:val="000000"/>
          <w:sz w:val="24"/>
        </w:rPr>
      </w:pPr>
    </w:p>
    <w:p w:rsidR="00A66608" w:rsidRPr="002C6E39" w:rsidRDefault="00A66608">
      <w:pPr>
        <w:rPr>
          <w:b/>
          <w:color w:val="000000"/>
          <w:sz w:val="22"/>
          <w:szCs w:val="22"/>
          <w:u w:val="single"/>
        </w:rPr>
      </w:pPr>
      <w:r w:rsidRPr="002C6E39">
        <w:rPr>
          <w:b/>
          <w:color w:val="000000"/>
          <w:sz w:val="22"/>
          <w:szCs w:val="22"/>
          <w:u w:val="single"/>
        </w:rPr>
        <w:t>INDICATION :</w:t>
      </w:r>
    </w:p>
    <w:p w:rsidR="00A66608" w:rsidRPr="002C6E39" w:rsidRDefault="00A66608" w:rsidP="00A66608">
      <w:pPr>
        <w:rPr>
          <w:bCs/>
          <w:color w:val="000000"/>
          <w:sz w:val="22"/>
          <w:szCs w:val="22"/>
        </w:rPr>
      </w:pPr>
      <w:r w:rsidRPr="002C6E39">
        <w:rPr>
          <w:bCs/>
          <w:color w:val="000000"/>
          <w:sz w:val="22"/>
          <w:szCs w:val="22"/>
        </w:rPr>
        <w:t xml:space="preserve">Ecoulement mamelonnaire multipore bilatéral, récent à droite et persistant à gauche, provoqué, de couleur citrin et noirâtre.  </w:t>
      </w:r>
    </w:p>
    <w:p w:rsidR="00EB2A23" w:rsidRPr="002C6E39" w:rsidRDefault="00EB2A23">
      <w:pPr>
        <w:rPr>
          <w:b/>
          <w:color w:val="000000"/>
          <w:sz w:val="16"/>
          <w:szCs w:val="16"/>
        </w:rPr>
      </w:pPr>
    </w:p>
    <w:p w:rsidR="00EB2A23" w:rsidRPr="002C6E39" w:rsidRDefault="00EB2A23">
      <w:pPr>
        <w:rPr>
          <w:b/>
          <w:color w:val="000000"/>
          <w:sz w:val="22"/>
          <w:szCs w:val="22"/>
        </w:rPr>
      </w:pPr>
      <w:r w:rsidRPr="002C6E39">
        <w:rPr>
          <w:b/>
          <w:iCs/>
          <w:color w:val="000000"/>
          <w:sz w:val="22"/>
          <w:szCs w:val="22"/>
          <w:u w:val="single"/>
        </w:rPr>
        <w:t>RESULTATS</w:t>
      </w:r>
      <w:r w:rsidRPr="002C6E39">
        <w:rPr>
          <w:b/>
          <w:i/>
          <w:color w:val="000000"/>
          <w:sz w:val="22"/>
          <w:szCs w:val="22"/>
        </w:rPr>
        <w:t>:</w:t>
      </w:r>
      <w:r w:rsidRPr="002C6E39">
        <w:rPr>
          <w:b/>
          <w:color w:val="000000"/>
          <w:sz w:val="22"/>
          <w:szCs w:val="22"/>
        </w:rPr>
        <w:t xml:space="preserve"> </w:t>
      </w:r>
    </w:p>
    <w:p w:rsidR="00B32AB7" w:rsidRPr="002C6E39" w:rsidRDefault="00B32AB7" w:rsidP="00B32AB7">
      <w:pPr>
        <w:rPr>
          <w:bCs/>
          <w:color w:val="000000"/>
          <w:sz w:val="16"/>
          <w:szCs w:val="16"/>
        </w:rPr>
      </w:pPr>
    </w:p>
    <w:p w:rsidR="00B32AB7" w:rsidRPr="002C6E39" w:rsidRDefault="00B32AB7" w:rsidP="00A66608">
      <w:pPr>
        <w:rPr>
          <w:bCs/>
          <w:color w:val="000000"/>
          <w:sz w:val="22"/>
          <w:szCs w:val="22"/>
        </w:rPr>
      </w:pPr>
      <w:r w:rsidRPr="002C6E39">
        <w:rPr>
          <w:bCs/>
          <w:color w:val="000000"/>
          <w:sz w:val="22"/>
          <w:szCs w:val="22"/>
        </w:rPr>
        <w:t xml:space="preserve">Seins </w:t>
      </w:r>
      <w:r w:rsidR="00A66608" w:rsidRPr="002C6E39">
        <w:rPr>
          <w:bCs/>
          <w:color w:val="000000"/>
          <w:sz w:val="22"/>
          <w:szCs w:val="22"/>
        </w:rPr>
        <w:t>denses hétérogènes</w:t>
      </w:r>
      <w:r w:rsidRPr="002C6E39">
        <w:rPr>
          <w:bCs/>
          <w:color w:val="000000"/>
          <w:sz w:val="22"/>
          <w:szCs w:val="22"/>
        </w:rPr>
        <w:t xml:space="preserve"> type </w:t>
      </w:r>
      <w:r w:rsidR="00A66608" w:rsidRPr="002C6E39">
        <w:rPr>
          <w:bCs/>
          <w:color w:val="000000"/>
          <w:sz w:val="22"/>
          <w:szCs w:val="22"/>
        </w:rPr>
        <w:t>c</w:t>
      </w:r>
      <w:r w:rsidRPr="002C6E39">
        <w:rPr>
          <w:bCs/>
          <w:color w:val="000000"/>
          <w:sz w:val="22"/>
          <w:szCs w:val="22"/>
        </w:rPr>
        <w:t xml:space="preserve"> de l’ACR.</w:t>
      </w:r>
    </w:p>
    <w:p w:rsidR="00B32AB7" w:rsidRPr="002C6E39" w:rsidRDefault="00010B4D" w:rsidP="00947890">
      <w:pPr>
        <w:rPr>
          <w:bCs/>
          <w:color w:val="000000"/>
          <w:sz w:val="22"/>
          <w:szCs w:val="22"/>
        </w:rPr>
      </w:pPr>
      <w:r w:rsidRPr="002C6E39">
        <w:rPr>
          <w:bCs/>
          <w:color w:val="000000"/>
          <w:sz w:val="22"/>
          <w:szCs w:val="22"/>
        </w:rPr>
        <w:t>Image de désorganisation architecturale en projection rétro-aréolaire gauche persistance en tomosynthèse</w:t>
      </w:r>
      <w:r w:rsidR="00C2050F" w:rsidRPr="002C6E39">
        <w:rPr>
          <w:bCs/>
          <w:color w:val="000000"/>
          <w:sz w:val="22"/>
          <w:szCs w:val="22"/>
        </w:rPr>
        <w:t xml:space="preserve">, sans </w:t>
      </w:r>
      <w:r w:rsidR="00FA0815" w:rsidRPr="002C6E39">
        <w:rPr>
          <w:bCs/>
          <w:color w:val="000000"/>
          <w:sz w:val="22"/>
          <w:szCs w:val="22"/>
        </w:rPr>
        <w:t>traduction</w:t>
      </w:r>
      <w:r w:rsidR="00C2050F" w:rsidRPr="002C6E39">
        <w:rPr>
          <w:bCs/>
          <w:color w:val="000000"/>
          <w:sz w:val="22"/>
          <w:szCs w:val="22"/>
        </w:rPr>
        <w:t xml:space="preserve"> sur l’incidence </w:t>
      </w:r>
      <w:r w:rsidR="00FA0815" w:rsidRPr="002C6E39">
        <w:rPr>
          <w:bCs/>
          <w:color w:val="000000"/>
          <w:sz w:val="22"/>
          <w:szCs w:val="22"/>
        </w:rPr>
        <w:t>oblique externe.</w:t>
      </w:r>
    </w:p>
    <w:p w:rsidR="00B32AB7" w:rsidRPr="002C6E39" w:rsidRDefault="00B32AB7" w:rsidP="00B32AB7">
      <w:pPr>
        <w:rPr>
          <w:bCs/>
          <w:color w:val="000000"/>
          <w:sz w:val="22"/>
          <w:szCs w:val="22"/>
        </w:rPr>
      </w:pPr>
      <w:r w:rsidRPr="002C6E39">
        <w:rPr>
          <w:bCs/>
          <w:color w:val="000000"/>
          <w:sz w:val="22"/>
          <w:szCs w:val="22"/>
        </w:rPr>
        <w:t xml:space="preserve">Absence </w:t>
      </w:r>
      <w:r w:rsidR="00947890" w:rsidRPr="002C6E39">
        <w:rPr>
          <w:bCs/>
          <w:color w:val="000000"/>
          <w:sz w:val="22"/>
          <w:szCs w:val="22"/>
        </w:rPr>
        <w:t xml:space="preserve">de syndrome de masse ou </w:t>
      </w:r>
      <w:r w:rsidRPr="002C6E39">
        <w:rPr>
          <w:bCs/>
          <w:color w:val="000000"/>
          <w:sz w:val="22"/>
          <w:szCs w:val="22"/>
        </w:rPr>
        <w:t>d’image d’opacité nodulo-stellaire</w:t>
      </w:r>
      <w:r w:rsidR="00947890" w:rsidRPr="002C6E39">
        <w:rPr>
          <w:bCs/>
          <w:color w:val="000000"/>
          <w:sz w:val="22"/>
          <w:szCs w:val="22"/>
        </w:rPr>
        <w:t xml:space="preserve"> par ailleurs</w:t>
      </w:r>
      <w:r w:rsidRPr="002C6E39">
        <w:rPr>
          <w:bCs/>
          <w:color w:val="000000"/>
          <w:sz w:val="22"/>
          <w:szCs w:val="22"/>
        </w:rPr>
        <w:t>.</w:t>
      </w:r>
    </w:p>
    <w:p w:rsidR="00947890" w:rsidRPr="002C6E39" w:rsidRDefault="00947890" w:rsidP="00B32AB7">
      <w:pPr>
        <w:rPr>
          <w:bCs/>
          <w:color w:val="000000"/>
          <w:sz w:val="22"/>
          <w:szCs w:val="22"/>
        </w:rPr>
      </w:pPr>
      <w:r w:rsidRPr="002C6E39">
        <w:rPr>
          <w:bCs/>
          <w:color w:val="000000"/>
          <w:sz w:val="22"/>
          <w:szCs w:val="22"/>
        </w:rPr>
        <w:t>Désorganisation architecturale rétro-aréolaire droite d’allure séquellaire</w:t>
      </w:r>
      <w:r w:rsidR="0022086B" w:rsidRPr="002C6E39">
        <w:rPr>
          <w:bCs/>
          <w:color w:val="000000"/>
          <w:sz w:val="22"/>
          <w:szCs w:val="22"/>
        </w:rPr>
        <w:t>.</w:t>
      </w:r>
    </w:p>
    <w:p w:rsidR="00B32AB7" w:rsidRPr="002C6E39" w:rsidRDefault="00B32AB7" w:rsidP="00B32AB7">
      <w:pPr>
        <w:rPr>
          <w:bCs/>
          <w:color w:val="000000"/>
          <w:sz w:val="22"/>
          <w:szCs w:val="22"/>
        </w:rPr>
      </w:pPr>
      <w:r w:rsidRPr="002C6E39">
        <w:rPr>
          <w:bCs/>
          <w:color w:val="000000"/>
          <w:sz w:val="22"/>
          <w:szCs w:val="22"/>
        </w:rPr>
        <w:t>Absence de foyer de micro-calcifications péjoratif.</w:t>
      </w:r>
    </w:p>
    <w:p w:rsidR="00B32AB7" w:rsidRPr="002C6E39" w:rsidRDefault="00B32AB7" w:rsidP="00B32AB7">
      <w:pPr>
        <w:rPr>
          <w:bCs/>
          <w:color w:val="000000"/>
          <w:sz w:val="22"/>
          <w:szCs w:val="22"/>
        </w:rPr>
      </w:pPr>
      <w:r w:rsidRPr="002C6E39">
        <w:rPr>
          <w:bCs/>
          <w:color w:val="000000"/>
          <w:sz w:val="22"/>
          <w:szCs w:val="22"/>
        </w:rPr>
        <w:t xml:space="preserve">Liseré cutané fin et régulier. </w:t>
      </w:r>
    </w:p>
    <w:p w:rsidR="0022086B" w:rsidRPr="002C6E39" w:rsidRDefault="00801A70" w:rsidP="00B32AB7">
      <w:pPr>
        <w:rPr>
          <w:bCs/>
          <w:color w:val="000000"/>
          <w:sz w:val="22"/>
          <w:szCs w:val="22"/>
        </w:rPr>
      </w:pPr>
      <w:r w:rsidRPr="002C6E39">
        <w:rPr>
          <w:bCs/>
          <w:color w:val="000000"/>
          <w:sz w:val="22"/>
          <w:szCs w:val="22"/>
        </w:rPr>
        <w:t>Ganglions axillaires à centre clair.</w:t>
      </w:r>
    </w:p>
    <w:p w:rsidR="00B32AB7" w:rsidRPr="002C6E39" w:rsidRDefault="00B32AB7" w:rsidP="00B32AB7">
      <w:pPr>
        <w:rPr>
          <w:bCs/>
          <w:color w:val="000000"/>
          <w:sz w:val="16"/>
          <w:szCs w:val="16"/>
        </w:rPr>
      </w:pPr>
    </w:p>
    <w:p w:rsidR="00B32AB7" w:rsidRPr="002C6E39" w:rsidRDefault="00B32AB7" w:rsidP="00A66608">
      <w:pPr>
        <w:ind w:firstLine="708"/>
        <w:rPr>
          <w:bCs/>
          <w:color w:val="000000"/>
          <w:sz w:val="22"/>
          <w:szCs w:val="22"/>
        </w:rPr>
      </w:pPr>
      <w:r w:rsidRPr="002C6E39">
        <w:rPr>
          <w:b/>
          <w:bCs/>
          <w:i/>
          <w:color w:val="000000"/>
          <w:sz w:val="22"/>
          <w:szCs w:val="22"/>
          <w:u w:val="single"/>
        </w:rPr>
        <w:t>Le complément échographique</w:t>
      </w:r>
      <w:r w:rsidR="00A66608" w:rsidRPr="002C6E39">
        <w:rPr>
          <w:b/>
          <w:bCs/>
          <w:i/>
          <w:color w:val="000000"/>
          <w:sz w:val="22"/>
          <w:szCs w:val="22"/>
          <w:u w:val="single"/>
        </w:rPr>
        <w:t> :</w:t>
      </w:r>
    </w:p>
    <w:p w:rsidR="00F30B3E" w:rsidRPr="002C6E39" w:rsidRDefault="00F30B3E" w:rsidP="0044711D">
      <w:pPr>
        <w:rPr>
          <w:bCs/>
          <w:color w:val="000000"/>
          <w:sz w:val="22"/>
          <w:szCs w:val="22"/>
        </w:rPr>
      </w:pPr>
      <w:r w:rsidRPr="002C6E39">
        <w:rPr>
          <w:bCs/>
          <w:color w:val="000000"/>
          <w:sz w:val="22"/>
          <w:szCs w:val="22"/>
        </w:rPr>
        <w:t>Ectasie galactophorique rétro-aréolaire bilatérale, à conte</w:t>
      </w:r>
      <w:r w:rsidR="0044711D" w:rsidRPr="002C6E39">
        <w:rPr>
          <w:bCs/>
          <w:color w:val="000000"/>
          <w:sz w:val="22"/>
          <w:szCs w:val="22"/>
        </w:rPr>
        <w:t>nu finement échogène, estimée 3,2</w:t>
      </w:r>
      <w:r w:rsidRPr="002C6E39">
        <w:rPr>
          <w:bCs/>
          <w:color w:val="000000"/>
          <w:sz w:val="22"/>
          <w:szCs w:val="22"/>
        </w:rPr>
        <w:t xml:space="preserve">mm </w:t>
      </w:r>
      <w:r w:rsidR="0044711D" w:rsidRPr="002C6E39">
        <w:rPr>
          <w:bCs/>
          <w:color w:val="000000"/>
          <w:sz w:val="22"/>
          <w:szCs w:val="22"/>
        </w:rPr>
        <w:t>de diamètre à gauche et 3,4mm de diamètre à droite.</w:t>
      </w:r>
    </w:p>
    <w:p w:rsidR="0044711D" w:rsidRPr="002C6E39" w:rsidRDefault="0044711D" w:rsidP="0044711D">
      <w:pPr>
        <w:rPr>
          <w:bCs/>
          <w:color w:val="000000"/>
          <w:sz w:val="22"/>
          <w:szCs w:val="22"/>
        </w:rPr>
      </w:pPr>
      <w:r w:rsidRPr="002C6E39">
        <w:rPr>
          <w:bCs/>
          <w:color w:val="000000"/>
          <w:sz w:val="22"/>
          <w:szCs w:val="22"/>
        </w:rPr>
        <w:t>Formations micro-nodulaires kystiques éparses bilatérales, dont certaines présentent un contenu remanié finement échogène, situées et mesurées comme suit :</w:t>
      </w:r>
    </w:p>
    <w:p w:rsidR="00264CD7" w:rsidRPr="002C6E39" w:rsidRDefault="00264CD7" w:rsidP="00B44B73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2C6E39">
        <w:rPr>
          <w:bCs/>
          <w:i/>
          <w:iCs/>
          <w:color w:val="000000"/>
          <w:sz w:val="22"/>
          <w:szCs w:val="22"/>
        </w:rPr>
        <w:t>QSE gauche de 5,6 mm.</w:t>
      </w:r>
    </w:p>
    <w:p w:rsidR="00264CD7" w:rsidRPr="002C6E39" w:rsidRDefault="00264CD7" w:rsidP="00B44B73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2C6E39">
        <w:rPr>
          <w:bCs/>
          <w:i/>
          <w:iCs/>
          <w:color w:val="000000"/>
          <w:sz w:val="22"/>
          <w:szCs w:val="22"/>
        </w:rPr>
        <w:t>QME gauche de 4 mm, 4 mm et 4,5 mm.</w:t>
      </w:r>
    </w:p>
    <w:p w:rsidR="00264CD7" w:rsidRPr="002C6E39" w:rsidRDefault="00264CD7" w:rsidP="00B44B73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2C6E39">
        <w:rPr>
          <w:bCs/>
          <w:i/>
          <w:iCs/>
          <w:color w:val="000000"/>
          <w:sz w:val="22"/>
          <w:szCs w:val="22"/>
        </w:rPr>
        <w:t>QMInf droit de 7 mm.</w:t>
      </w:r>
    </w:p>
    <w:p w:rsidR="00633484" w:rsidRPr="002C6E39" w:rsidRDefault="00633484" w:rsidP="00B44B73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2C6E39">
        <w:rPr>
          <w:bCs/>
          <w:i/>
          <w:iCs/>
          <w:color w:val="000000"/>
          <w:sz w:val="22"/>
          <w:szCs w:val="22"/>
        </w:rPr>
        <w:t>QIE droit de 4,6 mm</w:t>
      </w:r>
      <w:r w:rsidR="0042098D" w:rsidRPr="002C6E39">
        <w:rPr>
          <w:bCs/>
          <w:i/>
          <w:iCs/>
          <w:color w:val="000000"/>
          <w:sz w:val="22"/>
          <w:szCs w:val="22"/>
        </w:rPr>
        <w:t>.</w:t>
      </w:r>
    </w:p>
    <w:p w:rsidR="0007025F" w:rsidRPr="002C6E39" w:rsidRDefault="0007025F" w:rsidP="00B44B73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2C6E39">
        <w:rPr>
          <w:bCs/>
          <w:i/>
          <w:iCs/>
          <w:color w:val="000000"/>
          <w:sz w:val="22"/>
          <w:szCs w:val="22"/>
        </w:rPr>
        <w:t>QSE droit de 8 mm et 4,5 mm.</w:t>
      </w:r>
    </w:p>
    <w:p w:rsidR="00F86A73" w:rsidRPr="002C6E39" w:rsidRDefault="00F86A73" w:rsidP="00F86A73">
      <w:pPr>
        <w:rPr>
          <w:bCs/>
          <w:color w:val="000000"/>
          <w:sz w:val="22"/>
          <w:szCs w:val="22"/>
        </w:rPr>
      </w:pPr>
      <w:r w:rsidRPr="002C6E39">
        <w:rPr>
          <w:bCs/>
          <w:color w:val="000000"/>
          <w:sz w:val="22"/>
          <w:szCs w:val="22"/>
        </w:rPr>
        <w:t>Remaniement fibro-cicatriciel péri-aréolaire droit d’allure séquellaire.</w:t>
      </w:r>
    </w:p>
    <w:p w:rsidR="00F86A73" w:rsidRPr="002C6E39" w:rsidRDefault="00F86A73" w:rsidP="00F86A73">
      <w:pPr>
        <w:rPr>
          <w:bCs/>
          <w:color w:val="000000"/>
          <w:sz w:val="22"/>
          <w:szCs w:val="22"/>
        </w:rPr>
      </w:pPr>
      <w:r w:rsidRPr="002C6E39">
        <w:rPr>
          <w:bCs/>
          <w:color w:val="000000"/>
          <w:sz w:val="22"/>
          <w:szCs w:val="22"/>
        </w:rPr>
        <w:t>L’image de désorganisation architecturale du sein gauche visible en mammographie n’a pas de traduction échographique.</w:t>
      </w:r>
    </w:p>
    <w:p w:rsidR="00F30B3E" w:rsidRPr="002C6E39" w:rsidRDefault="009201DF" w:rsidP="00B32AB7">
      <w:pPr>
        <w:rPr>
          <w:bCs/>
          <w:color w:val="000000"/>
          <w:sz w:val="22"/>
          <w:szCs w:val="22"/>
        </w:rPr>
      </w:pPr>
      <w:r w:rsidRPr="002C6E39">
        <w:rPr>
          <w:bCs/>
          <w:color w:val="000000"/>
          <w:sz w:val="22"/>
          <w:szCs w:val="22"/>
        </w:rPr>
        <w:t>Revêtement cutané fin et régulier.</w:t>
      </w:r>
    </w:p>
    <w:p w:rsidR="009201DF" w:rsidRPr="002C6E39" w:rsidRDefault="009201DF" w:rsidP="00B32AB7">
      <w:pPr>
        <w:rPr>
          <w:bCs/>
          <w:color w:val="000000"/>
          <w:sz w:val="22"/>
          <w:szCs w:val="22"/>
        </w:rPr>
      </w:pPr>
      <w:r w:rsidRPr="002C6E39">
        <w:rPr>
          <w:bCs/>
          <w:color w:val="000000"/>
          <w:sz w:val="22"/>
          <w:szCs w:val="22"/>
        </w:rPr>
        <w:t>Respect des plans graisseux sous cutanés.</w:t>
      </w:r>
    </w:p>
    <w:p w:rsidR="00F30B3E" w:rsidRPr="002C6E39" w:rsidRDefault="00F86A73" w:rsidP="00B32AB7">
      <w:pPr>
        <w:rPr>
          <w:bCs/>
          <w:color w:val="000000"/>
          <w:sz w:val="22"/>
          <w:szCs w:val="22"/>
        </w:rPr>
      </w:pPr>
      <w:r w:rsidRPr="002C6E39">
        <w:rPr>
          <w:bCs/>
          <w:color w:val="000000"/>
          <w:sz w:val="22"/>
          <w:szCs w:val="22"/>
        </w:rPr>
        <w:t xml:space="preserve">Ganglions axillaires bilatéraux de morphologie conservée, d'allure inflammatoire. </w:t>
      </w:r>
    </w:p>
    <w:p w:rsidR="00B32AB7" w:rsidRPr="002C6E39" w:rsidRDefault="00B32AB7" w:rsidP="00B32AB7">
      <w:pPr>
        <w:rPr>
          <w:bCs/>
          <w:color w:val="000000"/>
          <w:sz w:val="16"/>
          <w:szCs w:val="16"/>
        </w:rPr>
      </w:pPr>
    </w:p>
    <w:p w:rsidR="00B32AB7" w:rsidRPr="002C6E39" w:rsidRDefault="00A66608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2"/>
          <w:szCs w:val="22"/>
        </w:rPr>
      </w:pPr>
      <w:r w:rsidRPr="002C6E39">
        <w:rPr>
          <w:b/>
          <w:bCs/>
          <w:iCs/>
          <w:color w:val="000000"/>
          <w:sz w:val="22"/>
          <w:szCs w:val="22"/>
          <w:u w:val="single"/>
        </w:rPr>
        <w:t>CONCLUSION</w:t>
      </w:r>
      <w:r w:rsidRPr="002C6E39">
        <w:rPr>
          <w:b/>
          <w:bCs/>
          <w:iCs/>
          <w:color w:val="000000"/>
          <w:sz w:val="22"/>
          <w:szCs w:val="22"/>
        </w:rPr>
        <w:t xml:space="preserve"> :</w:t>
      </w:r>
    </w:p>
    <w:p w:rsidR="005F58C3" w:rsidRPr="002C6E39" w:rsidRDefault="00D567C9" w:rsidP="00BB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2C6E39">
        <w:rPr>
          <w:b/>
          <w:bCs/>
          <w:i/>
          <w:color w:val="000000"/>
          <w:sz w:val="22"/>
          <w:szCs w:val="22"/>
        </w:rPr>
        <w:t xml:space="preserve"> </w:t>
      </w:r>
      <w:r w:rsidR="00B32AB7" w:rsidRPr="002C6E39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F86A73" w:rsidRPr="002C6E39">
        <w:rPr>
          <w:b/>
          <w:bCs/>
          <w:i/>
          <w:color w:val="000000"/>
          <w:sz w:val="22"/>
          <w:szCs w:val="22"/>
        </w:rPr>
        <w:t>retrouvent une discrète ectasie galactophorique bilatérale à contenu finement échogène, sur fond de mastopathie fibro-kystique bilatérale</w:t>
      </w:r>
      <w:r w:rsidR="00BB75B2" w:rsidRPr="00BB75B2">
        <w:rPr>
          <w:b/>
          <w:bCs/>
          <w:i/>
          <w:color w:val="000000"/>
          <w:sz w:val="22"/>
          <w:szCs w:val="22"/>
        </w:rPr>
        <w:t xml:space="preserve"> </w:t>
      </w:r>
      <w:r w:rsidR="00BB75B2">
        <w:rPr>
          <w:b/>
          <w:bCs/>
          <w:i/>
          <w:color w:val="000000"/>
          <w:sz w:val="22"/>
          <w:szCs w:val="22"/>
        </w:rPr>
        <w:t>avec i</w:t>
      </w:r>
      <w:r w:rsidR="00BB75B2" w:rsidRPr="002C6E39">
        <w:rPr>
          <w:b/>
          <w:bCs/>
          <w:i/>
          <w:color w:val="000000"/>
          <w:sz w:val="22"/>
          <w:szCs w:val="22"/>
        </w:rPr>
        <w:t>mage de désorganisation architecturale en projection rétro-aréolaire gauche, sans traduction échographique.</w:t>
      </w:r>
    </w:p>
    <w:p w:rsidR="00ED3E6D" w:rsidRPr="002C6E39" w:rsidRDefault="00D567C9" w:rsidP="00BB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2C6E39">
        <w:rPr>
          <w:b/>
          <w:bCs/>
          <w:i/>
          <w:color w:val="000000"/>
          <w:sz w:val="22"/>
          <w:szCs w:val="22"/>
        </w:rPr>
        <w:t xml:space="preserve"> </w:t>
      </w:r>
      <w:r w:rsidR="0014063D" w:rsidRPr="002C6E39">
        <w:rPr>
          <w:b/>
          <w:bCs/>
          <w:i/>
          <w:color w:val="000000"/>
          <w:sz w:val="22"/>
          <w:szCs w:val="22"/>
        </w:rPr>
        <w:t xml:space="preserve">Remaniement fibro-cicatriciel péri-aréolaire </w:t>
      </w:r>
      <w:r w:rsidR="00ED3E6D" w:rsidRPr="002C6E39">
        <w:rPr>
          <w:b/>
          <w:bCs/>
          <w:i/>
          <w:color w:val="000000"/>
          <w:sz w:val="22"/>
          <w:szCs w:val="22"/>
        </w:rPr>
        <w:t>droit séquellaire (patiente rapportant la notion d</w:t>
      </w:r>
      <w:r w:rsidRPr="002C6E39">
        <w:rPr>
          <w:b/>
          <w:bCs/>
          <w:i/>
          <w:color w:val="000000"/>
          <w:sz w:val="22"/>
          <w:szCs w:val="22"/>
        </w:rPr>
        <w:t>’</w:t>
      </w:r>
      <w:r w:rsidR="00ED3E6D" w:rsidRPr="002C6E39">
        <w:rPr>
          <w:b/>
          <w:bCs/>
          <w:i/>
          <w:color w:val="000000"/>
          <w:sz w:val="22"/>
          <w:szCs w:val="22"/>
        </w:rPr>
        <w:t>ADF droit opéré).</w:t>
      </w:r>
    </w:p>
    <w:p w:rsidR="00ED3E6D" w:rsidRPr="002C6E39" w:rsidRDefault="00D567C9" w:rsidP="00ED3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2C6E39">
        <w:rPr>
          <w:b/>
          <w:bCs/>
          <w:i/>
          <w:color w:val="000000"/>
          <w:sz w:val="22"/>
          <w:szCs w:val="22"/>
        </w:rPr>
        <w:t xml:space="preserve"> </w:t>
      </w:r>
      <w:r w:rsidR="00B32AB7" w:rsidRPr="002C6E39">
        <w:rPr>
          <w:b/>
          <w:bCs/>
          <w:i/>
          <w:color w:val="000000"/>
          <w:sz w:val="22"/>
          <w:szCs w:val="22"/>
        </w:rPr>
        <w:t xml:space="preserve">Examen classé BI-RADS </w:t>
      </w:r>
      <w:r w:rsidR="00ED3E6D" w:rsidRPr="002C6E39">
        <w:rPr>
          <w:b/>
          <w:bCs/>
          <w:i/>
          <w:color w:val="000000"/>
          <w:sz w:val="22"/>
          <w:szCs w:val="22"/>
        </w:rPr>
        <w:t>0</w:t>
      </w:r>
      <w:r w:rsidR="00B32AB7" w:rsidRPr="002C6E39">
        <w:rPr>
          <w:b/>
          <w:bCs/>
          <w:i/>
          <w:color w:val="000000"/>
          <w:sz w:val="22"/>
          <w:szCs w:val="22"/>
        </w:rPr>
        <w:t xml:space="preserve"> de l’ACR</w:t>
      </w:r>
      <w:r w:rsidR="00ED3E6D" w:rsidRPr="002C6E39">
        <w:rPr>
          <w:b/>
          <w:bCs/>
          <w:i/>
          <w:color w:val="000000"/>
          <w:sz w:val="22"/>
          <w:szCs w:val="22"/>
        </w:rPr>
        <w:t xml:space="preserve"> à gauche et BI-RADS 3 de l'ACR à droite.</w:t>
      </w:r>
    </w:p>
    <w:p w:rsidR="00B32AB7" w:rsidRPr="002C6E39" w:rsidRDefault="002C6E39" w:rsidP="00BB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 xml:space="preserve"> </w:t>
      </w:r>
      <w:r w:rsidR="00ED3E6D" w:rsidRPr="002C6E39">
        <w:rPr>
          <w:b/>
          <w:bCs/>
          <w:i/>
          <w:color w:val="000000"/>
          <w:sz w:val="22"/>
          <w:szCs w:val="22"/>
        </w:rPr>
        <w:t xml:space="preserve">Un complément IRM mammaire est souhaitable pour meilleure caractérisation dans </w:t>
      </w:r>
      <w:r>
        <w:rPr>
          <w:b/>
          <w:bCs/>
          <w:i/>
          <w:color w:val="000000"/>
          <w:sz w:val="22"/>
          <w:szCs w:val="22"/>
        </w:rPr>
        <w:t>ce</w:t>
      </w:r>
      <w:r w:rsidR="00ED3E6D" w:rsidRPr="002C6E39">
        <w:rPr>
          <w:b/>
          <w:bCs/>
          <w:i/>
          <w:color w:val="000000"/>
          <w:sz w:val="22"/>
          <w:szCs w:val="22"/>
        </w:rPr>
        <w:t xml:space="preserve"> contexte d’é</w:t>
      </w:r>
      <w:r w:rsidR="00EB1B6F" w:rsidRPr="002C6E39">
        <w:rPr>
          <w:b/>
          <w:bCs/>
          <w:i/>
          <w:color w:val="000000"/>
          <w:sz w:val="22"/>
          <w:szCs w:val="22"/>
        </w:rPr>
        <w:t>coulement mamelonnaire persistant</w:t>
      </w:r>
      <w:r w:rsidR="00BB75B2">
        <w:rPr>
          <w:b/>
          <w:bCs/>
          <w:i/>
          <w:color w:val="000000"/>
          <w:sz w:val="22"/>
          <w:szCs w:val="22"/>
        </w:rPr>
        <w:t>, et vu les antécédents familiaux de la patiente.</w:t>
      </w:r>
    </w:p>
    <w:p w:rsidR="00EB2A23" w:rsidRPr="002C6E39" w:rsidRDefault="00EB2A23" w:rsidP="00B32AB7">
      <w:pPr>
        <w:rPr>
          <w:b/>
          <w:i/>
          <w:iCs/>
          <w:color w:val="000000"/>
          <w:sz w:val="16"/>
          <w:szCs w:val="16"/>
        </w:rPr>
      </w:pPr>
    </w:p>
    <w:sectPr w:rsidR="00EB2A23" w:rsidRPr="002C6E39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3CA" w:rsidRDefault="002413CA" w:rsidP="00FF41A6">
      <w:r>
        <w:separator/>
      </w:r>
    </w:p>
  </w:endnote>
  <w:endnote w:type="continuationSeparator" w:id="0">
    <w:p w:rsidR="002413CA" w:rsidRDefault="002413C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3CA" w:rsidRDefault="002413CA" w:rsidP="00FF41A6">
      <w:r>
        <w:separator/>
      </w:r>
    </w:p>
  </w:footnote>
  <w:footnote w:type="continuationSeparator" w:id="0">
    <w:p w:rsidR="002413CA" w:rsidRDefault="002413C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F3408"/>
    <w:multiLevelType w:val="hybridMultilevel"/>
    <w:tmpl w:val="85D47BC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0B4D"/>
    <w:rsid w:val="00013B16"/>
    <w:rsid w:val="0007025F"/>
    <w:rsid w:val="0009487D"/>
    <w:rsid w:val="00094E5E"/>
    <w:rsid w:val="000A78EE"/>
    <w:rsid w:val="000B7A8F"/>
    <w:rsid w:val="001207D1"/>
    <w:rsid w:val="00136EEF"/>
    <w:rsid w:val="0014063D"/>
    <w:rsid w:val="0022086B"/>
    <w:rsid w:val="002413CA"/>
    <w:rsid w:val="00264CD7"/>
    <w:rsid w:val="00266C96"/>
    <w:rsid w:val="00291FF6"/>
    <w:rsid w:val="002B58CC"/>
    <w:rsid w:val="002C6E39"/>
    <w:rsid w:val="00320AF6"/>
    <w:rsid w:val="0038353D"/>
    <w:rsid w:val="00397A26"/>
    <w:rsid w:val="004038CE"/>
    <w:rsid w:val="00413297"/>
    <w:rsid w:val="0042098D"/>
    <w:rsid w:val="00425DD9"/>
    <w:rsid w:val="0044711D"/>
    <w:rsid w:val="004758FD"/>
    <w:rsid w:val="00483B47"/>
    <w:rsid w:val="00487E9D"/>
    <w:rsid w:val="004E0DFB"/>
    <w:rsid w:val="004E1488"/>
    <w:rsid w:val="005018C7"/>
    <w:rsid w:val="0055089C"/>
    <w:rsid w:val="00564CD7"/>
    <w:rsid w:val="00595B90"/>
    <w:rsid w:val="005F58C3"/>
    <w:rsid w:val="00633484"/>
    <w:rsid w:val="00681513"/>
    <w:rsid w:val="006925A3"/>
    <w:rsid w:val="006A5983"/>
    <w:rsid w:val="006E396B"/>
    <w:rsid w:val="007358A1"/>
    <w:rsid w:val="007571A5"/>
    <w:rsid w:val="00764D5C"/>
    <w:rsid w:val="007E6311"/>
    <w:rsid w:val="007F2AFE"/>
    <w:rsid w:val="00801A70"/>
    <w:rsid w:val="008B1520"/>
    <w:rsid w:val="00915587"/>
    <w:rsid w:val="009201DF"/>
    <w:rsid w:val="00947890"/>
    <w:rsid w:val="0097545C"/>
    <w:rsid w:val="00987ECD"/>
    <w:rsid w:val="00991837"/>
    <w:rsid w:val="009C71A8"/>
    <w:rsid w:val="00A11F2B"/>
    <w:rsid w:val="00A66608"/>
    <w:rsid w:val="00A76F00"/>
    <w:rsid w:val="00AB3DCA"/>
    <w:rsid w:val="00AF6EEF"/>
    <w:rsid w:val="00B00E2E"/>
    <w:rsid w:val="00B32AB7"/>
    <w:rsid w:val="00B44B73"/>
    <w:rsid w:val="00B511D7"/>
    <w:rsid w:val="00B625CF"/>
    <w:rsid w:val="00B75A57"/>
    <w:rsid w:val="00BB7310"/>
    <w:rsid w:val="00BB75B2"/>
    <w:rsid w:val="00BC18CE"/>
    <w:rsid w:val="00BE1C55"/>
    <w:rsid w:val="00C2050F"/>
    <w:rsid w:val="00C7676D"/>
    <w:rsid w:val="00C821F0"/>
    <w:rsid w:val="00C95560"/>
    <w:rsid w:val="00CD057F"/>
    <w:rsid w:val="00D159C3"/>
    <w:rsid w:val="00D567C9"/>
    <w:rsid w:val="00DC7E65"/>
    <w:rsid w:val="00DE3E17"/>
    <w:rsid w:val="00E25639"/>
    <w:rsid w:val="00E31EF8"/>
    <w:rsid w:val="00EB1B6F"/>
    <w:rsid w:val="00EB2A23"/>
    <w:rsid w:val="00ED3E6D"/>
    <w:rsid w:val="00EE4ACF"/>
    <w:rsid w:val="00F30B3E"/>
    <w:rsid w:val="00F45755"/>
    <w:rsid w:val="00F515B5"/>
    <w:rsid w:val="00F7627E"/>
    <w:rsid w:val="00F86A73"/>
    <w:rsid w:val="00FA0815"/>
    <w:rsid w:val="00FB18E1"/>
    <w:rsid w:val="00FC7BA2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2A9D5E-360A-4BF1-8233-FFFD710D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B75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7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2242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2023-07-24T10:38:00Z</cp:lastPrinted>
  <dcterms:created xsi:type="dcterms:W3CDTF">2023-09-18T22:10:00Z</dcterms:created>
  <dcterms:modified xsi:type="dcterms:W3CDTF">2023-09-18T22:10:00Z</dcterms:modified>
</cp:coreProperties>
</file>