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87BF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C1A0E" w:rsidP="009F46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pat-195 41 ANS </w:t>
      </w:r>
      <w:r w:rsidR="00887BFD">
        <w:rPr>
          <w:b/>
          <w:color w:val="000000"/>
          <w:sz w:val="24"/>
        </w:rPr>
        <w:t>MAMMOGRAPHIE/ ECHO COMPRISE</w:t>
      </w:r>
      <w:r w:rsidR="005F0394">
        <w:rPr>
          <w:b/>
          <w:color w:val="000000"/>
          <w:sz w:val="24"/>
        </w:rPr>
        <w:t xml:space="preserve">+ TOMOSYNTHESE </w:t>
      </w:r>
    </w:p>
    <w:p w:rsidR="00EB2A23" w:rsidRDefault="005F0394">
      <w:pPr>
        <w:rPr>
          <w:b/>
          <w:color w:val="000000"/>
          <w:sz w:val="24"/>
        </w:rPr>
      </w:pPr>
      <w:r w:rsidRPr="005F0394">
        <w:rPr>
          <w:b/>
          <w:color w:val="000000"/>
          <w:sz w:val="24"/>
          <w:u w:val="single"/>
        </w:rPr>
        <w:t>Motif</w:t>
      </w:r>
      <w:r>
        <w:rPr>
          <w:b/>
          <w:color w:val="000000"/>
          <w:sz w:val="24"/>
        </w:rPr>
        <w:t> :</w:t>
      </w:r>
    </w:p>
    <w:p w:rsidR="005F0394" w:rsidRPr="009F464D" w:rsidRDefault="005F0394" w:rsidP="009F464D">
      <w:pPr>
        <w:rPr>
          <w:bCs/>
          <w:color w:val="000000"/>
          <w:sz w:val="24"/>
        </w:rPr>
      </w:pPr>
      <w:r w:rsidRPr="005F0394">
        <w:rPr>
          <w:bCs/>
          <w:color w:val="000000"/>
          <w:sz w:val="24"/>
        </w:rPr>
        <w:t>Bilan d’une mastodynie gauche</w:t>
      </w:r>
      <w:r>
        <w:rPr>
          <w:bCs/>
          <w:color w:val="000000"/>
          <w:sz w:val="24"/>
        </w:rPr>
        <w:t xml:space="preserve"> avec palpation d’une  induration sous aréolaire interne  de ce coté.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5F0394" w:rsidRDefault="000A24F3" w:rsidP="009F46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5F0394">
        <w:rPr>
          <w:bCs/>
          <w:color w:val="000000"/>
          <w:sz w:val="24"/>
        </w:rPr>
        <w:t xml:space="preserve"> denses hétérogènes, </w:t>
      </w:r>
      <w:r>
        <w:rPr>
          <w:bCs/>
          <w:color w:val="000000"/>
          <w:sz w:val="24"/>
        </w:rPr>
        <w:t xml:space="preserve"> type </w:t>
      </w:r>
      <w:r w:rsidR="005F0394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A24F3" w:rsidRDefault="005F0394" w:rsidP="009F46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opacités mammaires bilatérales, rondes circonscrites de taille variable de contours noyés dans l’opacité mammaire, mieux délimitée en tomosynthèse.</w:t>
      </w:r>
    </w:p>
    <w:p w:rsidR="000A24F3" w:rsidRDefault="000A24F3" w:rsidP="009F46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5F0394">
        <w:rPr>
          <w:bCs/>
          <w:color w:val="000000"/>
          <w:sz w:val="24"/>
        </w:rPr>
        <w:t xml:space="preserve"> ou de distorsion architecturale</w:t>
      </w:r>
      <w:r>
        <w:rPr>
          <w:bCs/>
          <w:color w:val="000000"/>
          <w:sz w:val="24"/>
        </w:rPr>
        <w:t>.</w:t>
      </w:r>
    </w:p>
    <w:p w:rsidR="000A24F3" w:rsidRDefault="000A24F3" w:rsidP="009F46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9F46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AD7FD2" w:rsidRDefault="005F0394" w:rsidP="00AD7FD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 foyer lésionnel </w:t>
      </w:r>
      <w:r w:rsidR="00AD7FD2">
        <w:rPr>
          <w:bCs/>
          <w:color w:val="000000"/>
          <w:sz w:val="24"/>
        </w:rPr>
        <w:t xml:space="preserve">superficiel sous aréolaire externe du sein gauche </w:t>
      </w:r>
      <w:r>
        <w:rPr>
          <w:bCs/>
          <w:color w:val="000000"/>
          <w:sz w:val="24"/>
        </w:rPr>
        <w:t xml:space="preserve">en plage de </w:t>
      </w:r>
      <w:r w:rsidR="00AD7FD2">
        <w:rPr>
          <w:bCs/>
          <w:color w:val="000000"/>
          <w:sz w:val="24"/>
        </w:rPr>
        <w:t>forme ovalaire, de contours lobulés, fait d’une ectasie canalaire focale réalisant une plage mesurée 15,5x7 mm, présentant un renforcement acoustique postérieur.</w:t>
      </w:r>
    </w:p>
    <w:p w:rsidR="00AD7FD2" w:rsidRDefault="00AD7FD2" w:rsidP="00AD7FD2">
      <w:pPr>
        <w:rPr>
          <w:bCs/>
          <w:color w:val="000000"/>
          <w:sz w:val="24"/>
        </w:rPr>
      </w:pPr>
    </w:p>
    <w:p w:rsidR="00AD7FD2" w:rsidRDefault="00AD7FD2" w:rsidP="00AD7FD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 multiples formations nodulaires kystiques éparses bilatérales, bien circonscrites, dont certaines sont finement cloisonnées, à contenu discrètement échogène, avec net renforcement acoustique postérieur situées et mesurée comme suit :</w:t>
      </w:r>
    </w:p>
    <w:p w:rsidR="00AD7FD2" w:rsidRDefault="00AD7FD2" w:rsidP="00AD7FD2">
      <w:pPr>
        <w:rPr>
          <w:bCs/>
          <w:color w:val="000000"/>
          <w:sz w:val="24"/>
        </w:rPr>
      </w:pPr>
    </w:p>
    <w:p w:rsidR="005F0394" w:rsidRPr="009F464D" w:rsidRDefault="009F464D" w:rsidP="009F464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F464D">
        <w:rPr>
          <w:bCs/>
          <w:i/>
          <w:iCs/>
          <w:color w:val="000000"/>
          <w:sz w:val="24"/>
        </w:rPr>
        <w:t>QSE gauche de 4,8 mm et 4 mm.</w:t>
      </w:r>
    </w:p>
    <w:p w:rsidR="009F464D" w:rsidRPr="009F464D" w:rsidRDefault="009F464D" w:rsidP="009F464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F464D">
        <w:rPr>
          <w:bCs/>
          <w:i/>
          <w:iCs/>
          <w:color w:val="000000"/>
          <w:sz w:val="24"/>
        </w:rPr>
        <w:t>QME gauche kyste cloisonné de 14,7 mm, et microkyste simple de 3,5 mm.</w:t>
      </w:r>
    </w:p>
    <w:p w:rsidR="009F464D" w:rsidRPr="009F464D" w:rsidRDefault="009F464D" w:rsidP="009F464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F464D">
        <w:rPr>
          <w:bCs/>
          <w:i/>
          <w:iCs/>
          <w:color w:val="000000"/>
          <w:sz w:val="24"/>
        </w:rPr>
        <w:t>Sus-aréolaire interne gauche de 7,5 mm.</w:t>
      </w:r>
    </w:p>
    <w:p w:rsidR="009F464D" w:rsidRPr="009F464D" w:rsidRDefault="009F464D" w:rsidP="009F464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F464D">
        <w:rPr>
          <w:bCs/>
          <w:i/>
          <w:iCs/>
          <w:color w:val="000000"/>
          <w:sz w:val="24"/>
        </w:rPr>
        <w:t>Rétro-aréolaire droite de 13,5 mm.</w:t>
      </w:r>
    </w:p>
    <w:p w:rsidR="009F464D" w:rsidRPr="009F464D" w:rsidRDefault="009F464D" w:rsidP="009F464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F464D">
        <w:rPr>
          <w:bCs/>
          <w:i/>
          <w:iCs/>
          <w:color w:val="000000"/>
          <w:sz w:val="24"/>
        </w:rPr>
        <w:t>QIE droit de 6,8 mm et 3,5 mm.</w:t>
      </w:r>
    </w:p>
    <w:p w:rsidR="009F464D" w:rsidRDefault="009F464D" w:rsidP="009F464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F464D">
        <w:rPr>
          <w:bCs/>
          <w:i/>
          <w:iCs/>
          <w:color w:val="000000"/>
          <w:sz w:val="24"/>
        </w:rPr>
        <w:t>QMInf droit de 7,8 mm.</w:t>
      </w:r>
    </w:p>
    <w:p w:rsidR="009F464D" w:rsidRPr="009F464D" w:rsidRDefault="009F464D" w:rsidP="009F464D">
      <w:pPr>
        <w:ind w:left="720"/>
        <w:rPr>
          <w:bCs/>
          <w:i/>
          <w:iCs/>
          <w:color w:val="000000"/>
          <w:sz w:val="24"/>
        </w:rPr>
      </w:pPr>
    </w:p>
    <w:p w:rsidR="000A24F3" w:rsidRDefault="009F464D" w:rsidP="009F46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Discrète ectasie canalaire rétro-aréolaire droite à contenu finement échogène. </w:t>
      </w:r>
    </w:p>
    <w:p w:rsidR="000A24F3" w:rsidRDefault="000A24F3" w:rsidP="009F46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9F464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9F464D" w:rsidRDefault="009F464D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9F4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F464D">
        <w:rPr>
          <w:b/>
          <w:bCs/>
          <w:i/>
          <w:color w:val="000000"/>
          <w:sz w:val="24"/>
        </w:rPr>
        <w:t>en faveur d’une mastopathie fibro-kystique bilatérale, avec visualisation d’un foyer lésionnel en plage sous aréolaire externe du sein gauche de nature indéterminée, justifiant une vérification histologique par microbiopsie échoguidée.</w:t>
      </w:r>
    </w:p>
    <w:p w:rsidR="000A24F3" w:rsidRDefault="000A24F3" w:rsidP="009F4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9F464D">
        <w:rPr>
          <w:b/>
          <w:bCs/>
          <w:i/>
          <w:color w:val="000000"/>
          <w:sz w:val="24"/>
        </w:rPr>
        <w:t xml:space="preserve">4 </w:t>
      </w:r>
      <w:r>
        <w:rPr>
          <w:b/>
          <w:bCs/>
          <w:i/>
          <w:color w:val="000000"/>
          <w:sz w:val="24"/>
        </w:rPr>
        <w:t>de l’ACR</w:t>
      </w:r>
      <w:r w:rsidR="009F464D">
        <w:rPr>
          <w:b/>
          <w:bCs/>
          <w:i/>
          <w:color w:val="000000"/>
          <w:sz w:val="24"/>
        </w:rPr>
        <w:t xml:space="preserve"> à gauche et BIRADS 3 de l’ACR à droite</w:t>
      </w:r>
      <w:r>
        <w:rPr>
          <w:b/>
          <w:bCs/>
          <w:i/>
          <w:color w:val="000000"/>
          <w:sz w:val="24"/>
        </w:rPr>
        <w:t>.</w:t>
      </w:r>
    </w:p>
    <w:sectPr w:rsidR="000A24F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24B" w:rsidRDefault="000B524B" w:rsidP="00FF41A6">
      <w:r>
        <w:separator/>
      </w:r>
    </w:p>
  </w:endnote>
  <w:endnote w:type="continuationSeparator" w:id="0">
    <w:p w:rsidR="000B524B" w:rsidRDefault="000B524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64D" w:rsidRDefault="009F464D" w:rsidP="00F515B5">
    <w:pPr>
      <w:jc w:val="center"/>
      <w:rPr>
        <w:rFonts w:eastAsia="Calibri"/>
        <w:i/>
        <w:iCs/>
        <w:sz w:val="18"/>
        <w:szCs w:val="18"/>
      </w:rPr>
    </w:pPr>
  </w:p>
  <w:p w:rsidR="009F464D" w:rsidRDefault="009F464D" w:rsidP="00F515B5">
    <w:pPr>
      <w:tabs>
        <w:tab w:val="center" w:pos="4536"/>
        <w:tab w:val="right" w:pos="9072"/>
      </w:tabs>
      <w:jc w:val="center"/>
    </w:pPr>
  </w:p>
  <w:p w:rsidR="009F464D" w:rsidRPr="00F515B5" w:rsidRDefault="009F464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24B" w:rsidRDefault="000B524B" w:rsidP="00FF41A6">
      <w:r>
        <w:separator/>
      </w:r>
    </w:p>
  </w:footnote>
  <w:footnote w:type="continuationSeparator" w:id="0">
    <w:p w:rsidR="000B524B" w:rsidRDefault="000B524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64D" w:rsidRDefault="009F464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F464D" w:rsidRPr="00426781" w:rsidRDefault="009F464D" w:rsidP="00FF41A6">
    <w:pPr>
      <w:pStyle w:val="NoSpacing"/>
      <w:jc w:val="center"/>
      <w:rPr>
        <w:rFonts w:ascii="Tw Cen MT" w:hAnsi="Tw Cen MT"/>
      </w:rPr>
    </w:pPr>
  </w:p>
  <w:p w:rsidR="009F464D" w:rsidRDefault="009F464D" w:rsidP="00FF41A6">
    <w:pPr>
      <w:pStyle w:val="NoSpacing"/>
      <w:jc w:val="center"/>
      <w:rPr>
        <w:rFonts w:ascii="Tw Cen MT" w:hAnsi="Tw Cen MT"/>
      </w:rPr>
    </w:pPr>
  </w:p>
  <w:p w:rsidR="009F464D" w:rsidRPr="00D104DB" w:rsidRDefault="009F464D" w:rsidP="00FF41A6">
    <w:pPr>
      <w:pStyle w:val="NoSpacing"/>
      <w:jc w:val="center"/>
      <w:rPr>
        <w:sz w:val="16"/>
        <w:szCs w:val="16"/>
      </w:rPr>
    </w:pPr>
  </w:p>
  <w:p w:rsidR="009F464D" w:rsidRDefault="009F464D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5D6B"/>
    <w:multiLevelType w:val="hybridMultilevel"/>
    <w:tmpl w:val="17243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524B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F0394"/>
    <w:rsid w:val="006925A3"/>
    <w:rsid w:val="006A5983"/>
    <w:rsid w:val="006E396B"/>
    <w:rsid w:val="007571A5"/>
    <w:rsid w:val="007F2AFE"/>
    <w:rsid w:val="00887BFD"/>
    <w:rsid w:val="008B1520"/>
    <w:rsid w:val="00915587"/>
    <w:rsid w:val="00991837"/>
    <w:rsid w:val="009F464D"/>
    <w:rsid w:val="00A11F2B"/>
    <w:rsid w:val="00A41457"/>
    <w:rsid w:val="00A50A2E"/>
    <w:rsid w:val="00A76F00"/>
    <w:rsid w:val="00AB3DCA"/>
    <w:rsid w:val="00AC1A0E"/>
    <w:rsid w:val="00AD7FD2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0967F4-5EB8-4C20-90FD-86B2496A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2023-07-24T11:12:00Z</cp:lastPrinted>
  <dcterms:created xsi:type="dcterms:W3CDTF">2023-09-18T22:12:00Z</dcterms:created>
  <dcterms:modified xsi:type="dcterms:W3CDTF">2023-09-18T22:12:00Z</dcterms:modified>
</cp:coreProperties>
</file>