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A105EA" w:rsidP="00521299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30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D170D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pat-197 51 ANS </w:t>
      </w:r>
    </w:p>
    <w:p w:rsidR="00B77E9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105E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Pr="009221A0" w:rsidRDefault="00B77E9B" w:rsidP="009221A0">
      <w:pPr>
        <w:rPr>
          <w:b/>
          <w:color w:val="000000"/>
          <w:sz w:val="24"/>
          <w:u w:val="single"/>
        </w:rPr>
      </w:pPr>
      <w:r w:rsidRPr="00B77E9B">
        <w:rPr>
          <w:b/>
          <w:color w:val="000000"/>
          <w:sz w:val="24"/>
          <w:u w:val="single"/>
        </w:rPr>
        <w:t>MOTIF :</w:t>
      </w:r>
      <w:r w:rsidR="009221A0">
        <w:rPr>
          <w:b/>
          <w:color w:val="000000"/>
          <w:sz w:val="24"/>
          <w:u w:val="single"/>
        </w:rPr>
        <w:t xml:space="preserve"> </w:t>
      </w:r>
      <w:r w:rsidRPr="00B77E9B">
        <w:rPr>
          <w:bCs/>
          <w:color w:val="000000"/>
          <w:sz w:val="24"/>
        </w:rPr>
        <w:t>Bilan d’une masse palpable du QSE gauche mobile sur mastopathie fibrokystique.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B77E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B77E9B">
        <w:rPr>
          <w:bCs/>
          <w:color w:val="000000"/>
          <w:sz w:val="24"/>
        </w:rPr>
        <w:t>denses hétérogènes type c</w:t>
      </w:r>
      <w:r>
        <w:rPr>
          <w:bCs/>
          <w:color w:val="000000"/>
          <w:sz w:val="24"/>
        </w:rPr>
        <w:t xml:space="preserve"> de l’ACR.</w:t>
      </w:r>
    </w:p>
    <w:p w:rsidR="000A24F3" w:rsidRDefault="00510889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Multiples opacités denses de tonalité hydrique homogène, éparses bilatérales, de taille variable, de contours partiellement masqués par l’opacité </w:t>
      </w:r>
      <w:r w:rsidR="00372E76">
        <w:rPr>
          <w:bCs/>
          <w:color w:val="000000"/>
          <w:sz w:val="24"/>
        </w:rPr>
        <w:t>mammaire.</w:t>
      </w:r>
    </w:p>
    <w:p w:rsidR="000A24F3" w:rsidRDefault="000A24F3" w:rsidP="00372E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372E76">
        <w:rPr>
          <w:bCs/>
          <w:color w:val="000000"/>
          <w:sz w:val="24"/>
        </w:rPr>
        <w:t xml:space="preserve"> ou de distorsion </w:t>
      </w:r>
      <w:r w:rsidR="004B5599">
        <w:rPr>
          <w:bCs/>
          <w:color w:val="000000"/>
          <w:sz w:val="24"/>
        </w:rPr>
        <w:t>architecturale.</w:t>
      </w:r>
    </w:p>
    <w:p w:rsidR="000A24F3" w:rsidRDefault="000A24F3" w:rsidP="00372E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372E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A2095" w:rsidRDefault="00FA2095" w:rsidP="00FA20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Multiples masses mammaires éparses bilatérales bien circonscrites, dont certaines sont simples </w:t>
      </w:r>
      <w:r w:rsidR="004B5599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>t d’autres remaniés avec un conten</w:t>
      </w:r>
      <w:r w:rsidR="00D87211">
        <w:rPr>
          <w:bCs/>
          <w:color w:val="000000"/>
          <w:sz w:val="24"/>
        </w:rPr>
        <w:t xml:space="preserve">u finement échogène, pour cible : </w:t>
      </w:r>
    </w:p>
    <w:p w:rsidR="00D87211" w:rsidRPr="00035048" w:rsidRDefault="00D87211" w:rsidP="00D87211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035048">
        <w:rPr>
          <w:b/>
          <w:i/>
          <w:iCs/>
          <w:color w:val="000000"/>
          <w:sz w:val="24"/>
        </w:rPr>
        <w:t>Sus aréolaire gauche : kyste bilobé discrètement remanié de 13.6mm.</w:t>
      </w:r>
    </w:p>
    <w:p w:rsidR="00035048" w:rsidRDefault="00D87211" w:rsidP="0003504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035048">
        <w:rPr>
          <w:b/>
          <w:i/>
          <w:iCs/>
          <w:color w:val="000000"/>
          <w:sz w:val="24"/>
        </w:rPr>
        <w:t>Sus aréolaire interne gauche :</w:t>
      </w:r>
      <w:r w:rsidR="00035048" w:rsidRPr="00035048">
        <w:rPr>
          <w:b/>
          <w:i/>
          <w:iCs/>
          <w:color w:val="000000"/>
          <w:sz w:val="24"/>
        </w:rPr>
        <w:t xml:space="preserve"> kyste remanié à co</w:t>
      </w:r>
      <w:r w:rsidR="00035048">
        <w:rPr>
          <w:b/>
          <w:i/>
          <w:iCs/>
          <w:color w:val="000000"/>
          <w:sz w:val="24"/>
        </w:rPr>
        <w:t>ntenu finement échogène de 29mm.</w:t>
      </w:r>
    </w:p>
    <w:p w:rsidR="00035048" w:rsidRDefault="00035048" w:rsidP="0003504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Para aréolaire externe gauche : 13mm et 3.5mm.</w:t>
      </w:r>
    </w:p>
    <w:p w:rsidR="00035048" w:rsidRDefault="00035048" w:rsidP="0003504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Rétro-aréolaire gauche : 13mm.</w:t>
      </w:r>
    </w:p>
    <w:p w:rsidR="00035048" w:rsidRDefault="00035048" w:rsidP="0003504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QME gauche : 08mm.</w:t>
      </w:r>
    </w:p>
    <w:p w:rsidR="00035048" w:rsidRDefault="00035048" w:rsidP="0003504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QSE droit : 15mm.</w:t>
      </w:r>
    </w:p>
    <w:p w:rsidR="00035048" w:rsidRDefault="00035048" w:rsidP="0003504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QMS droit : 7.5mm.</w:t>
      </w:r>
    </w:p>
    <w:p w:rsidR="00035048" w:rsidRDefault="00035048" w:rsidP="0003504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QME droit : 05mm.</w:t>
      </w:r>
    </w:p>
    <w:p w:rsidR="00035048" w:rsidRDefault="00035048" w:rsidP="0003504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QIE droit : 05mm.</w:t>
      </w:r>
    </w:p>
    <w:p w:rsidR="00035048" w:rsidRDefault="00035048" w:rsidP="0003504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Prolongement axillaire droit : 5.5mm.</w:t>
      </w:r>
    </w:p>
    <w:p w:rsidR="000A24F3" w:rsidRDefault="000A24F3" w:rsidP="009221A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9221A0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9221A0" w:rsidRDefault="009221A0" w:rsidP="005212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521299">
        <w:rPr>
          <w:bCs/>
          <w:color w:val="000000"/>
          <w:sz w:val="24"/>
        </w:rPr>
        <w:t>gauches</w:t>
      </w:r>
      <w:r>
        <w:rPr>
          <w:bCs/>
          <w:color w:val="000000"/>
          <w:sz w:val="24"/>
        </w:rPr>
        <w:t xml:space="preserve"> de morphologie conservée, d'allure inflammatoire. </w:t>
      </w:r>
    </w:p>
    <w:p w:rsidR="00521299" w:rsidRDefault="00521299" w:rsidP="005212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droites.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4B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21299">
        <w:rPr>
          <w:b/>
          <w:bCs/>
          <w:i/>
          <w:color w:val="000000"/>
          <w:sz w:val="24"/>
        </w:rPr>
        <w:t xml:space="preserve">en faveur d’une mastopathie fibrokystique bilatérale dont la taille et le nombre de kystes </w:t>
      </w:r>
      <w:r w:rsidR="004B5599">
        <w:rPr>
          <w:b/>
          <w:bCs/>
          <w:i/>
          <w:color w:val="000000"/>
          <w:sz w:val="24"/>
        </w:rPr>
        <w:t>est</w:t>
      </w:r>
      <w:r w:rsidR="00521299">
        <w:rPr>
          <w:b/>
          <w:bCs/>
          <w:i/>
          <w:color w:val="000000"/>
          <w:sz w:val="24"/>
        </w:rPr>
        <w:t xml:space="preserve"> majoré par rapport aux données antérieur</w:t>
      </w:r>
      <w:r w:rsidR="004B5599">
        <w:rPr>
          <w:b/>
          <w:bCs/>
          <w:i/>
          <w:color w:val="000000"/>
          <w:sz w:val="24"/>
        </w:rPr>
        <w:t>e</w:t>
      </w:r>
      <w:r w:rsidR="00521299">
        <w:rPr>
          <w:b/>
          <w:bCs/>
          <w:i/>
          <w:color w:val="000000"/>
          <w:sz w:val="24"/>
        </w:rPr>
        <w:t>s, compliquée en sus aréolaire gauche par la présence de kyste</w:t>
      </w:r>
      <w:r w:rsidR="004B5599">
        <w:rPr>
          <w:b/>
          <w:bCs/>
          <w:i/>
          <w:color w:val="000000"/>
          <w:sz w:val="24"/>
        </w:rPr>
        <w:t>s</w:t>
      </w:r>
      <w:r w:rsidR="00521299">
        <w:rPr>
          <w:b/>
          <w:bCs/>
          <w:i/>
          <w:color w:val="000000"/>
          <w:sz w:val="24"/>
        </w:rPr>
        <w:t xml:space="preserve"> remaniés.</w:t>
      </w:r>
    </w:p>
    <w:p w:rsidR="00521299" w:rsidRDefault="00521299" w:rsidP="00521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l'ACR à gauche et BI-RADS 2 de l'ACR à droite.</w:t>
      </w:r>
    </w:p>
    <w:p w:rsidR="00521299" w:rsidRDefault="00521299" w:rsidP="00521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 contrôle échographique après traitement est souhaitable ainsi qu’une vérification cytologique en sus aréolaire gauche.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D51" w:rsidRDefault="00130D51" w:rsidP="00FF41A6">
      <w:r>
        <w:separator/>
      </w:r>
    </w:p>
  </w:endnote>
  <w:endnote w:type="continuationSeparator" w:id="0">
    <w:p w:rsidR="00130D51" w:rsidRDefault="00130D5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D51" w:rsidRDefault="00130D51" w:rsidP="00FF41A6">
      <w:r>
        <w:separator/>
      </w:r>
    </w:p>
  </w:footnote>
  <w:footnote w:type="continuationSeparator" w:id="0">
    <w:p w:rsidR="00130D51" w:rsidRDefault="00130D5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5128"/>
    <w:multiLevelType w:val="hybridMultilevel"/>
    <w:tmpl w:val="6630C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35048"/>
    <w:rsid w:val="00094E5E"/>
    <w:rsid w:val="000A24F3"/>
    <w:rsid w:val="000A78EE"/>
    <w:rsid w:val="000B7A8F"/>
    <w:rsid w:val="00130D51"/>
    <w:rsid w:val="00136EEF"/>
    <w:rsid w:val="001D170D"/>
    <w:rsid w:val="00266C96"/>
    <w:rsid w:val="00291FF6"/>
    <w:rsid w:val="002B58CC"/>
    <w:rsid w:val="00320AF6"/>
    <w:rsid w:val="00372E76"/>
    <w:rsid w:val="0038353D"/>
    <w:rsid w:val="00397A26"/>
    <w:rsid w:val="004038CE"/>
    <w:rsid w:val="00413297"/>
    <w:rsid w:val="00425DD9"/>
    <w:rsid w:val="00476002"/>
    <w:rsid w:val="004822D0"/>
    <w:rsid w:val="00483B47"/>
    <w:rsid w:val="00487E9D"/>
    <w:rsid w:val="004B5599"/>
    <w:rsid w:val="004E0DFB"/>
    <w:rsid w:val="004E1488"/>
    <w:rsid w:val="005018C7"/>
    <w:rsid w:val="00510889"/>
    <w:rsid w:val="00521299"/>
    <w:rsid w:val="0052687A"/>
    <w:rsid w:val="0055089C"/>
    <w:rsid w:val="006925A3"/>
    <w:rsid w:val="006A5983"/>
    <w:rsid w:val="006E396B"/>
    <w:rsid w:val="007571A5"/>
    <w:rsid w:val="007F2AFE"/>
    <w:rsid w:val="008B1520"/>
    <w:rsid w:val="00915587"/>
    <w:rsid w:val="009221A0"/>
    <w:rsid w:val="00991837"/>
    <w:rsid w:val="00A105EA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77E9B"/>
    <w:rsid w:val="00B90949"/>
    <w:rsid w:val="00BB7310"/>
    <w:rsid w:val="00BC18CE"/>
    <w:rsid w:val="00BE1C55"/>
    <w:rsid w:val="00C7676D"/>
    <w:rsid w:val="00CD057F"/>
    <w:rsid w:val="00D159C3"/>
    <w:rsid w:val="00D8721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2095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07577B-17CE-483E-8727-2FC2A450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B5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5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2023-07-30T13:26:00Z</cp:lastPrinted>
  <dcterms:created xsi:type="dcterms:W3CDTF">2023-09-18T22:12:00Z</dcterms:created>
  <dcterms:modified xsi:type="dcterms:W3CDTF">2023-09-18T22:12:00Z</dcterms:modified>
</cp:coreProperties>
</file>