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0A7C3A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jeudi 13 juillet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D85BD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pat-217 42 ANS </w:t>
      </w:r>
    </w:p>
    <w:p w:rsidR="00EB2A23" w:rsidRPr="00794131" w:rsidRDefault="000A7C3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794131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3433E9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D37ACA" w:rsidP="00D37AC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</w:t>
      </w:r>
      <w:r>
        <w:rPr>
          <w:rFonts w:ascii="Arial" w:hAnsi="Arial" w:cs="Arial"/>
          <w:bCs/>
          <w:color w:val="000000"/>
          <w:sz w:val="24"/>
        </w:rPr>
        <w:t>icale avec curage axillaire.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D37ACA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080FFF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 type </w:t>
      </w:r>
      <w:r w:rsidR="00080FFF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3433E9" w:rsidRPr="00832475" w:rsidRDefault="003433E9" w:rsidP="00F7343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Petite opacité bien circonscrite, régulière du QSE, réniforme, satellite d’un vaisseau, compatible avec un ganglion intra-mammaire</w:t>
      </w:r>
      <w:r w:rsidR="009B62AC">
        <w:rPr>
          <w:rFonts w:ascii="Arial" w:hAnsi="Arial" w:cs="Arial"/>
          <w:bCs/>
          <w:color w:val="000000"/>
          <w:sz w:val="24"/>
        </w:rPr>
        <w:t>.</w:t>
      </w:r>
      <w:r>
        <w:rPr>
          <w:rFonts w:ascii="Arial" w:hAnsi="Arial" w:cs="Arial"/>
          <w:bCs/>
          <w:color w:val="000000"/>
          <w:sz w:val="24"/>
        </w:rPr>
        <w:t xml:space="preserve"> 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masse.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9B62AC">
        <w:rPr>
          <w:rFonts w:ascii="Arial" w:hAnsi="Arial" w:cs="Arial"/>
          <w:bCs/>
          <w:color w:val="000000"/>
          <w:sz w:val="24"/>
        </w:rPr>
        <w:t>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D37AC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4E6939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4E6939" w:rsidP="00F7343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Confirmation </w:t>
      </w:r>
      <w:r w:rsidR="00E67063">
        <w:rPr>
          <w:rFonts w:ascii="Arial" w:hAnsi="Arial" w:cs="Arial"/>
          <w:bCs/>
          <w:color w:val="000000"/>
          <w:sz w:val="24"/>
        </w:rPr>
        <w:t>d’une petite formation gangl</w:t>
      </w:r>
      <w:r w:rsidR="00F7343D">
        <w:rPr>
          <w:rFonts w:ascii="Arial" w:hAnsi="Arial" w:cs="Arial"/>
          <w:bCs/>
          <w:color w:val="000000"/>
          <w:sz w:val="24"/>
        </w:rPr>
        <w:t xml:space="preserve">ionnaire du QSE de morphologie, </w:t>
      </w:r>
      <w:r w:rsidR="00E67063">
        <w:rPr>
          <w:rFonts w:ascii="Arial" w:hAnsi="Arial" w:cs="Arial"/>
          <w:bCs/>
          <w:color w:val="000000"/>
          <w:sz w:val="24"/>
        </w:rPr>
        <w:t>à hile hyperéchogène et cortex fin hypoéchogène, estimée à 9x4,5 mm, sans signification pathologique.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F7343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604894" w:rsidP="00F7343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de morphologie conservée, d'allure inflammatoire.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BA738A" w:rsidRDefault="00832475" w:rsidP="00832475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BA738A">
        <w:rPr>
          <w:rFonts w:ascii="Arial" w:hAnsi="Arial" w:cs="Arial"/>
          <w:b/>
          <w:bCs/>
          <w:i/>
          <w:color w:val="000000"/>
          <w:sz w:val="24"/>
        </w:rPr>
        <w:t>échographique de la région pariétale antérieure droite et axillaire droite révèle des remaniements post-thérapeutiques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794131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31651B" w:rsidRDefault="00757291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BA738A">
        <w:rPr>
          <w:rFonts w:ascii="Arial" w:hAnsi="Arial" w:cs="Arial"/>
          <w:b/>
          <w:bCs/>
          <w:i/>
          <w:color w:val="000000"/>
          <w:sz w:val="24"/>
        </w:rPr>
        <w:t>en faveur d’un ganglion intra-mammaire</w:t>
      </w:r>
      <w:r w:rsidR="0031651B">
        <w:rPr>
          <w:rFonts w:ascii="Arial" w:hAnsi="Arial" w:cs="Arial"/>
          <w:b/>
          <w:bCs/>
          <w:i/>
          <w:color w:val="000000"/>
          <w:sz w:val="24"/>
        </w:rPr>
        <w:t xml:space="preserve"> du QSE gauche.</w:t>
      </w:r>
    </w:p>
    <w:p w:rsidR="0031651B" w:rsidRDefault="00757291" w:rsidP="003165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31651B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31651B">
        <w:rPr>
          <w:rFonts w:ascii="Arial" w:hAnsi="Arial" w:cs="Arial"/>
          <w:b/>
          <w:bCs/>
          <w:i/>
          <w:color w:val="000000"/>
          <w:sz w:val="24"/>
        </w:rPr>
        <w:t>2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31651B">
        <w:rPr>
          <w:rFonts w:ascii="Arial" w:hAnsi="Arial" w:cs="Arial"/>
          <w:b/>
          <w:bCs/>
          <w:i/>
          <w:color w:val="000000"/>
          <w:sz w:val="24"/>
        </w:rPr>
        <w:t>à gauche.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Default="00B00E2E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5B" w:rsidRDefault="0084555B" w:rsidP="00FF41A6">
      <w:r>
        <w:separator/>
      </w:r>
    </w:p>
  </w:endnote>
  <w:endnote w:type="continuationSeparator" w:id="0">
    <w:p w:rsidR="0084555B" w:rsidRDefault="0084555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8A" w:rsidRDefault="00BA738A" w:rsidP="00F515B5">
    <w:pPr>
      <w:jc w:val="center"/>
      <w:rPr>
        <w:rFonts w:eastAsia="Calibri"/>
        <w:i/>
        <w:iCs/>
        <w:sz w:val="18"/>
        <w:szCs w:val="18"/>
      </w:rPr>
    </w:pPr>
  </w:p>
  <w:p w:rsidR="00BA738A" w:rsidRDefault="00BA738A" w:rsidP="00F515B5">
    <w:pPr>
      <w:tabs>
        <w:tab w:val="center" w:pos="4536"/>
        <w:tab w:val="right" w:pos="9072"/>
      </w:tabs>
      <w:jc w:val="center"/>
    </w:pPr>
  </w:p>
  <w:p w:rsidR="00BA738A" w:rsidRPr="00F515B5" w:rsidRDefault="00BA738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5B" w:rsidRDefault="0084555B" w:rsidP="00FF41A6">
      <w:r>
        <w:separator/>
      </w:r>
    </w:p>
  </w:footnote>
  <w:footnote w:type="continuationSeparator" w:id="0">
    <w:p w:rsidR="0084555B" w:rsidRDefault="0084555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8A" w:rsidRDefault="00BA738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A738A" w:rsidRPr="00426781" w:rsidRDefault="00BA738A" w:rsidP="00FF41A6">
    <w:pPr>
      <w:pStyle w:val="NoSpacing"/>
      <w:jc w:val="center"/>
      <w:rPr>
        <w:rFonts w:ascii="Tw Cen MT" w:hAnsi="Tw Cen MT"/>
      </w:rPr>
    </w:pPr>
  </w:p>
  <w:p w:rsidR="00BA738A" w:rsidRDefault="00BA738A" w:rsidP="00FF41A6">
    <w:pPr>
      <w:pStyle w:val="NoSpacing"/>
      <w:jc w:val="center"/>
      <w:rPr>
        <w:rFonts w:ascii="Tw Cen MT" w:hAnsi="Tw Cen MT"/>
      </w:rPr>
    </w:pPr>
  </w:p>
  <w:p w:rsidR="00BA738A" w:rsidRPr="00D104DB" w:rsidRDefault="00BA738A" w:rsidP="00FF41A6">
    <w:pPr>
      <w:pStyle w:val="NoSpacing"/>
      <w:jc w:val="center"/>
      <w:rPr>
        <w:sz w:val="16"/>
        <w:szCs w:val="16"/>
      </w:rPr>
    </w:pPr>
  </w:p>
  <w:p w:rsidR="00BA738A" w:rsidRDefault="00BA738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80FFF"/>
    <w:rsid w:val="00094E5E"/>
    <w:rsid w:val="000A78EE"/>
    <w:rsid w:val="000A7C3A"/>
    <w:rsid w:val="000B7A8F"/>
    <w:rsid w:val="00136EEF"/>
    <w:rsid w:val="00266C96"/>
    <w:rsid w:val="00291FF6"/>
    <w:rsid w:val="002B58CC"/>
    <w:rsid w:val="0031651B"/>
    <w:rsid w:val="00320AF6"/>
    <w:rsid w:val="003433E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6939"/>
    <w:rsid w:val="005018C7"/>
    <w:rsid w:val="0055089C"/>
    <w:rsid w:val="00604894"/>
    <w:rsid w:val="006925A3"/>
    <w:rsid w:val="006A5983"/>
    <w:rsid w:val="006E396B"/>
    <w:rsid w:val="007571A5"/>
    <w:rsid w:val="00757291"/>
    <w:rsid w:val="00794131"/>
    <w:rsid w:val="007F2AFE"/>
    <w:rsid w:val="00832475"/>
    <w:rsid w:val="0084555B"/>
    <w:rsid w:val="008B1520"/>
    <w:rsid w:val="00915587"/>
    <w:rsid w:val="00922BD1"/>
    <w:rsid w:val="00991837"/>
    <w:rsid w:val="009B62AC"/>
    <w:rsid w:val="00A11F2B"/>
    <w:rsid w:val="00A76F00"/>
    <w:rsid w:val="00AB3DCA"/>
    <w:rsid w:val="00AF6EEF"/>
    <w:rsid w:val="00B00E2E"/>
    <w:rsid w:val="00B511D7"/>
    <w:rsid w:val="00B625CF"/>
    <w:rsid w:val="00B75A57"/>
    <w:rsid w:val="00B76BA9"/>
    <w:rsid w:val="00BA738A"/>
    <w:rsid w:val="00BB7310"/>
    <w:rsid w:val="00BC18CE"/>
    <w:rsid w:val="00BE1C55"/>
    <w:rsid w:val="00C45B1A"/>
    <w:rsid w:val="00C7676D"/>
    <w:rsid w:val="00C81D5E"/>
    <w:rsid w:val="00CD057F"/>
    <w:rsid w:val="00D159C3"/>
    <w:rsid w:val="00D37ACA"/>
    <w:rsid w:val="00D50B3D"/>
    <w:rsid w:val="00D85BDA"/>
    <w:rsid w:val="00DC7E65"/>
    <w:rsid w:val="00DE3E17"/>
    <w:rsid w:val="00E25639"/>
    <w:rsid w:val="00E31EF8"/>
    <w:rsid w:val="00E67063"/>
    <w:rsid w:val="00EB2A23"/>
    <w:rsid w:val="00EC7889"/>
    <w:rsid w:val="00EE4ACF"/>
    <w:rsid w:val="00F45755"/>
    <w:rsid w:val="00F515B5"/>
    <w:rsid w:val="00F7343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02E0F5-4A5E-4FF0-958A-9CD6EC99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