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195AA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135246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pat-244 45 ANS </w:t>
      </w:r>
    </w:p>
    <w:p w:rsidR="00EB2A23" w:rsidRDefault="00195AA2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C45A69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Mastodynies.</w:t>
      </w:r>
    </w:p>
    <w:p w:rsidR="00C45A69" w:rsidRDefault="00C45A69" w:rsidP="00C45A6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Patiente déjà opérée d’un adénofibrome du sein droit.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6769E" w:rsidRDefault="00C45A69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D</w:t>
      </w:r>
      <w:r w:rsidR="0096769E">
        <w:rPr>
          <w:rFonts w:ascii="Georgia" w:hAnsi="Georgia"/>
          <w:bCs/>
          <w:color w:val="000000"/>
          <w:sz w:val="24"/>
        </w:rPr>
        <w:t>ésorganisation architecturale</w:t>
      </w:r>
      <w:r>
        <w:rPr>
          <w:rFonts w:ascii="Georgia" w:hAnsi="Georgia"/>
          <w:bCs/>
          <w:color w:val="000000"/>
          <w:sz w:val="24"/>
        </w:rPr>
        <w:t xml:space="preserve"> de situation rétro aréolaire droite, d’allure cicatricielle.</w:t>
      </w:r>
    </w:p>
    <w:p w:rsidR="00C45A69" w:rsidRDefault="00C45A69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masse.</w:t>
      </w:r>
    </w:p>
    <w:p w:rsidR="00C45A69" w:rsidRDefault="00C45A69" w:rsidP="00C45A6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C45A69" w:rsidRDefault="00C45A69" w:rsidP="00C45A6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C45A69" w:rsidRDefault="00C45A69" w:rsidP="00C45A69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C45A69" w:rsidRDefault="00C45A69" w:rsidP="00C45A69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834D0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834D03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  <w:r w:rsidR="00834D03">
        <w:rPr>
          <w:rFonts w:ascii="Georgia" w:hAnsi="Georgia"/>
          <w:bCs/>
          <w:color w:val="000000"/>
          <w:sz w:val="24"/>
        </w:rPr>
        <w:t>.</w:t>
      </w:r>
    </w:p>
    <w:p w:rsidR="00834D03" w:rsidRDefault="00834D03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à la limite supérieure de la normale, estimé à 3 mm de calibre, à paroi fine et à contenu transonore.</w:t>
      </w:r>
    </w:p>
    <w:p w:rsidR="00834D03" w:rsidRDefault="00834D03" w:rsidP="00834D0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834D03" w:rsidRDefault="00834D03" w:rsidP="00834D0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 d’allure inflammatoire.</w:t>
      </w:r>
    </w:p>
    <w:p w:rsidR="00834D03" w:rsidRDefault="00834D03" w:rsidP="00834D03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834D03" w:rsidRDefault="0096769E" w:rsidP="00834D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</w:t>
      </w:r>
      <w:r w:rsidR="00834D03">
        <w:rPr>
          <w:rFonts w:ascii="Georgia" w:hAnsi="Georgia"/>
          <w:b/>
          <w:bCs/>
          <w:i/>
          <w:color w:val="000000"/>
          <w:sz w:val="24"/>
        </w:rPr>
        <w:t xml:space="preserve"> sans particularité, classées </w:t>
      </w:r>
      <w:r>
        <w:rPr>
          <w:rFonts w:ascii="Georgia" w:hAnsi="Georgia"/>
          <w:b/>
          <w:bCs/>
          <w:i/>
          <w:color w:val="000000"/>
          <w:sz w:val="24"/>
        </w:rPr>
        <w:t>BI-RADS 1 de l’ACR</w:t>
      </w:r>
      <w:r w:rsidR="00834D03">
        <w:rPr>
          <w:rFonts w:ascii="Georgia" w:hAnsi="Georgia"/>
          <w:b/>
          <w:bCs/>
          <w:i/>
          <w:color w:val="000000"/>
          <w:sz w:val="24"/>
        </w:rPr>
        <w:t>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ED0" w:rsidRDefault="00665ED0" w:rsidP="00FF41A6">
      <w:r>
        <w:separator/>
      </w:r>
    </w:p>
  </w:endnote>
  <w:endnote w:type="continuationSeparator" w:id="0">
    <w:p w:rsidR="00665ED0" w:rsidRDefault="00665ED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ED0" w:rsidRDefault="00665ED0" w:rsidP="00FF41A6">
      <w:r>
        <w:separator/>
      </w:r>
    </w:p>
  </w:footnote>
  <w:footnote w:type="continuationSeparator" w:id="0">
    <w:p w:rsidR="00665ED0" w:rsidRDefault="00665ED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5246"/>
    <w:rsid w:val="00136EEF"/>
    <w:rsid w:val="00195AA2"/>
    <w:rsid w:val="0026452B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65ED0"/>
    <w:rsid w:val="006925A3"/>
    <w:rsid w:val="006A5983"/>
    <w:rsid w:val="006E396B"/>
    <w:rsid w:val="0070486C"/>
    <w:rsid w:val="007571A5"/>
    <w:rsid w:val="007F2AFE"/>
    <w:rsid w:val="00834D03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45A69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E084CB-5ED5-4474-90DD-35CEEFD3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1029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2023-09-18T22:14:00Z</dcterms:created>
  <dcterms:modified xsi:type="dcterms:W3CDTF">2023-09-18T22:14:00Z</dcterms:modified>
</cp:coreProperties>
</file>