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D1A7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65D2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pat-254 31 ANS </w:t>
      </w:r>
    </w:p>
    <w:p w:rsidR="00EB2A23" w:rsidRDefault="002D1A7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D82CE2" w:rsidRDefault="00B00E2E" w:rsidP="00D82CE2">
      <w:pPr>
        <w:rPr>
          <w:b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D82CE2">
        <w:rPr>
          <w:b/>
          <w:iCs/>
          <w:color w:val="000000"/>
          <w:sz w:val="28"/>
          <w:u w:val="single"/>
        </w:rPr>
        <w:t>RESULTATS</w:t>
      </w:r>
      <w:r w:rsidR="00D82CE2">
        <w:rPr>
          <w:b/>
          <w:i/>
          <w:color w:val="000000"/>
          <w:sz w:val="24"/>
        </w:rPr>
        <w:t>:</w:t>
      </w:r>
      <w:r w:rsidR="00D82CE2"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360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36092">
        <w:rPr>
          <w:bCs/>
          <w:color w:val="000000"/>
          <w:sz w:val="24"/>
        </w:rPr>
        <w:t xml:space="preserve">glandulaires hétérogènes de </w:t>
      </w:r>
      <w:r>
        <w:rPr>
          <w:bCs/>
          <w:color w:val="000000"/>
          <w:sz w:val="24"/>
        </w:rPr>
        <w:t xml:space="preserve">type </w:t>
      </w:r>
      <w:r w:rsidR="00D36092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3609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à centre graisseux.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36092" w:rsidRDefault="00D36092" w:rsidP="00D36092">
      <w:pPr>
        <w:rPr>
          <w:bCs/>
          <w:color w:val="000000"/>
          <w:sz w:val="24"/>
        </w:rPr>
      </w:pPr>
      <w:r w:rsidRPr="00D36092">
        <w:rPr>
          <w:bCs/>
          <w:color w:val="000000"/>
          <w:sz w:val="24"/>
        </w:rPr>
        <w:t>Ganglions axillaires gauches, fusiformes, aux hiles hyperéchogènes, d’allure inflammatoire.</w:t>
      </w:r>
    </w:p>
    <w:p w:rsidR="00D36092" w:rsidRPr="00D36092" w:rsidRDefault="00D36092" w:rsidP="00D36092">
      <w:pPr>
        <w:rPr>
          <w:bCs/>
          <w:color w:val="000000"/>
          <w:sz w:val="24"/>
        </w:rPr>
      </w:pPr>
    </w:p>
    <w:p w:rsidR="00D36092" w:rsidRDefault="00D36092" w:rsidP="00D360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visualisation de formation lésionnelle au niveau du creux axillaire droit.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</w:t>
      </w:r>
      <w:r w:rsidR="00D36092">
        <w:rPr>
          <w:b/>
          <w:bCs/>
          <w:i/>
          <w:color w:val="000000"/>
          <w:sz w:val="24"/>
        </w:rPr>
        <w:t>xamen classé BI-RADS 1 de l’ACR à droite comme à gauche.</w:t>
      </w:r>
    </w:p>
    <w:p w:rsidR="00EB2A23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8D7" w:rsidRDefault="00E728D7" w:rsidP="00FF41A6">
      <w:r>
        <w:separator/>
      </w:r>
    </w:p>
  </w:endnote>
  <w:endnote w:type="continuationSeparator" w:id="0">
    <w:p w:rsidR="00E728D7" w:rsidRDefault="00E728D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8D7" w:rsidRDefault="00E728D7" w:rsidP="00FF41A6">
      <w:r>
        <w:separator/>
      </w:r>
    </w:p>
  </w:footnote>
  <w:footnote w:type="continuationSeparator" w:id="0">
    <w:p w:rsidR="00E728D7" w:rsidRDefault="00E728D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65D2D"/>
    <w:rsid w:val="00094E5E"/>
    <w:rsid w:val="000A78EE"/>
    <w:rsid w:val="000B7A8F"/>
    <w:rsid w:val="00136EEF"/>
    <w:rsid w:val="00266C96"/>
    <w:rsid w:val="00291FF6"/>
    <w:rsid w:val="002B58CC"/>
    <w:rsid w:val="002D1A7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705EB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36092"/>
    <w:rsid w:val="00D771EA"/>
    <w:rsid w:val="00D82CE2"/>
    <w:rsid w:val="00DC7E65"/>
    <w:rsid w:val="00DE3E17"/>
    <w:rsid w:val="00E25639"/>
    <w:rsid w:val="00E31EF8"/>
    <w:rsid w:val="00E728D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D59940-5991-49B6-AECD-5735E65D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2023-06-20T10:28:00Z</cp:lastPrinted>
  <dcterms:created xsi:type="dcterms:W3CDTF">2023-09-18T22:15:00Z</dcterms:created>
  <dcterms:modified xsi:type="dcterms:W3CDTF">2023-09-18T22:15:00Z</dcterms:modified>
</cp:coreProperties>
</file>