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26E2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22 juin 2023</w:t>
      </w:r>
    </w:p>
    <w:p w:rsidR="002D0746" w:rsidRDefault="002D074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55EF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pat-257 46 ANS </w:t>
      </w:r>
    </w:p>
    <w:p w:rsidR="002D074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26E2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C918A5" w:rsidP="00C918A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Petite formation nodulaire du QSE gauche sur antécédent de </w:t>
      </w:r>
      <w:r w:rsidR="00DA3D60">
        <w:rPr>
          <w:rFonts w:ascii="Georgia" w:hAnsi="Georgia"/>
          <w:bCs/>
          <w:color w:val="000000"/>
          <w:sz w:val="24"/>
        </w:rPr>
        <w:t>sarcoïdose</w:t>
      </w:r>
      <w:r>
        <w:rPr>
          <w:rFonts w:ascii="Georgia" w:hAnsi="Georgia"/>
          <w:bCs/>
          <w:color w:val="000000"/>
          <w:sz w:val="24"/>
        </w:rPr>
        <w:t xml:space="preserve"> ou de tuberculose, le diagnostic n’a pas encore établi de façon certaine.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C918A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918A5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C918A5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C918A5" w:rsidRDefault="00C918A5" w:rsidP="00C918A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du QSE gauche, sans signal calcique associé.</w:t>
      </w:r>
    </w:p>
    <w:p w:rsidR="00EB565C" w:rsidRDefault="00C918A5" w:rsidP="00C918A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EB565C">
        <w:rPr>
          <w:rFonts w:ascii="Georgia" w:hAnsi="Georgia"/>
          <w:bCs/>
          <w:color w:val="000000"/>
          <w:sz w:val="24"/>
        </w:rPr>
        <w:t>de</w:t>
      </w:r>
      <w:r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DA3D60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DA3D60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DA3D60" w:rsidRDefault="00DA3D60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hypoéchogène bien circonscrite régulière du QSE gauche estimée à 11x03mm.</w:t>
      </w:r>
    </w:p>
    <w:p w:rsidR="00DA3D60" w:rsidRDefault="00DA3D60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DA3D60" w:rsidRDefault="00DA3D60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A3D60" w:rsidRDefault="00DA3D60" w:rsidP="00DA3D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Adénopathies axillaires bilatérales, à cortex épaissi et hile réduit, estimées respectivement en axillaire gauche à 12.7x9.6mm, 14.2x09mm, 7.2x05mm et en axillaire droit estimée à 07x4.5mm.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DA3D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A3D60">
        <w:rPr>
          <w:rFonts w:ascii="Georgia" w:hAnsi="Georgia"/>
          <w:b/>
          <w:bCs/>
          <w:i/>
          <w:color w:val="000000"/>
          <w:sz w:val="24"/>
        </w:rPr>
        <w:t>en faveur d’une masse du QSE gauche globalement à sémiologie bénigne associée à des adénopathies axillaires bilatérales, rentrant dans le cadre d’une maladie connue pour laquelle la patiente est suivie (tuberculose ou sarcoïdose).</w:t>
      </w:r>
    </w:p>
    <w:p w:rsidR="00DA3D60" w:rsidRDefault="00DA3D60" w:rsidP="00DA3D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1 à droite.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DA3D60" w:rsidRPr="00EB565C" w:rsidRDefault="00DA3D60" w:rsidP="00EB565C">
      <w:pPr>
        <w:rPr>
          <w:bCs/>
          <w:color w:val="000000"/>
          <w:sz w:val="24"/>
          <w:szCs w:val="24"/>
        </w:rPr>
      </w:pPr>
    </w:p>
    <w:sectPr w:rsidR="00DA3D60" w:rsidRPr="00EB565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0E2" w:rsidRDefault="00C270E2" w:rsidP="00FF41A6">
      <w:r>
        <w:separator/>
      </w:r>
    </w:p>
  </w:endnote>
  <w:endnote w:type="continuationSeparator" w:id="0">
    <w:p w:rsidR="00C270E2" w:rsidRDefault="00C270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0E2" w:rsidRDefault="00C270E2" w:rsidP="00FF41A6">
      <w:r>
        <w:separator/>
      </w:r>
    </w:p>
  </w:footnote>
  <w:footnote w:type="continuationSeparator" w:id="0">
    <w:p w:rsidR="00C270E2" w:rsidRDefault="00C270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2D074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25C4"/>
    <w:rsid w:val="0055089C"/>
    <w:rsid w:val="0062219B"/>
    <w:rsid w:val="006925A3"/>
    <w:rsid w:val="006A5983"/>
    <w:rsid w:val="006E396B"/>
    <w:rsid w:val="007571A5"/>
    <w:rsid w:val="007F2AFE"/>
    <w:rsid w:val="00855EF1"/>
    <w:rsid w:val="008B1520"/>
    <w:rsid w:val="008E0952"/>
    <w:rsid w:val="00915587"/>
    <w:rsid w:val="00926E26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70E2"/>
    <w:rsid w:val="00C7676D"/>
    <w:rsid w:val="00C918A5"/>
    <w:rsid w:val="00CD057F"/>
    <w:rsid w:val="00D159C3"/>
    <w:rsid w:val="00DA3D60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3AA820-29EA-43F7-B8AE-F5243DFC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