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793C15" w:rsidRDefault="00793C15">
      <w:pPr>
        <w:jc w:val="right"/>
        <w:rPr>
          <w:b/>
          <w:i/>
          <w:iCs/>
          <w:color w:val="000000"/>
          <w:sz w:val="24"/>
        </w:rPr>
      </w:pPr>
    </w:p>
    <w:p w:rsidR="00EB2A23" w:rsidRDefault="006D7855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17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A07BE0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pat-260 40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97605D" w:rsidRDefault="006D7855" w:rsidP="0097605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97605D">
        <w:rPr>
          <w:b/>
          <w:i/>
          <w:iCs/>
          <w:color w:val="000000"/>
          <w:sz w:val="24"/>
        </w:rPr>
        <w:t>MAMMOGRAPHIE</w:t>
      </w:r>
      <w:r w:rsidR="0097605D" w:rsidRPr="0097605D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6F5D3B" w:rsidRDefault="00EB2A23">
      <w:pPr>
        <w:rPr>
          <w:b/>
          <w:color w:val="000000"/>
          <w:sz w:val="24"/>
          <w:szCs w:val="24"/>
        </w:rPr>
      </w:pPr>
      <w:r w:rsidRPr="006F5D3B">
        <w:rPr>
          <w:b/>
          <w:iCs/>
          <w:color w:val="000000"/>
          <w:sz w:val="24"/>
          <w:szCs w:val="24"/>
          <w:u w:val="single"/>
        </w:rPr>
        <w:t>RESULTATS</w:t>
      </w:r>
      <w:r w:rsidRPr="006F5D3B">
        <w:rPr>
          <w:b/>
          <w:i/>
          <w:color w:val="000000"/>
          <w:sz w:val="24"/>
          <w:szCs w:val="24"/>
        </w:rPr>
        <w:t>:</w:t>
      </w:r>
      <w:r w:rsidRPr="006F5D3B">
        <w:rPr>
          <w:b/>
          <w:color w:val="000000"/>
          <w:sz w:val="24"/>
          <w:szCs w:val="24"/>
        </w:rPr>
        <w:t xml:space="preserve"> </w:t>
      </w:r>
    </w:p>
    <w:p w:rsidR="00EE4ACF" w:rsidRPr="006F5D3B" w:rsidRDefault="00EE4ACF">
      <w:pPr>
        <w:rPr>
          <w:b/>
          <w:color w:val="000000"/>
          <w:sz w:val="24"/>
          <w:szCs w:val="24"/>
        </w:rPr>
      </w:pPr>
    </w:p>
    <w:p w:rsidR="00A90B0A" w:rsidRPr="006F5D3B" w:rsidRDefault="00B00E2E" w:rsidP="0097605D">
      <w:pPr>
        <w:ind w:firstLine="708"/>
        <w:rPr>
          <w:b/>
          <w:color w:val="000000"/>
          <w:sz w:val="24"/>
          <w:szCs w:val="24"/>
          <w:u w:val="single"/>
        </w:rPr>
      </w:pPr>
      <w:r w:rsidRPr="006F5D3B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6F5D3B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97605D" w:rsidRPr="006F5D3B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Default="00A90B0A" w:rsidP="006F5D3B">
      <w:pPr>
        <w:rPr>
          <w:bCs/>
          <w:color w:val="000000"/>
          <w:sz w:val="24"/>
          <w:szCs w:val="24"/>
        </w:rPr>
      </w:pPr>
      <w:r w:rsidRPr="006F5D3B">
        <w:rPr>
          <w:bCs/>
          <w:color w:val="000000"/>
          <w:sz w:val="24"/>
          <w:szCs w:val="24"/>
        </w:rPr>
        <w:t xml:space="preserve">Seins à trame </w:t>
      </w:r>
      <w:r w:rsidR="006F5D3B">
        <w:rPr>
          <w:bCs/>
          <w:color w:val="000000"/>
          <w:sz w:val="24"/>
          <w:szCs w:val="24"/>
        </w:rPr>
        <w:t xml:space="preserve">conjonctivo-glandulaire </w:t>
      </w:r>
      <w:r w:rsidRPr="006F5D3B">
        <w:rPr>
          <w:bCs/>
          <w:color w:val="000000"/>
          <w:sz w:val="24"/>
          <w:szCs w:val="24"/>
        </w:rPr>
        <w:t xml:space="preserve">hétérogène type </w:t>
      </w:r>
      <w:r w:rsidR="006F5D3B">
        <w:rPr>
          <w:bCs/>
          <w:color w:val="000000"/>
          <w:sz w:val="24"/>
          <w:szCs w:val="24"/>
        </w:rPr>
        <w:t>c</w:t>
      </w:r>
      <w:r w:rsidRPr="006F5D3B">
        <w:rPr>
          <w:bCs/>
          <w:color w:val="000000"/>
          <w:sz w:val="24"/>
          <w:szCs w:val="24"/>
        </w:rPr>
        <w:t xml:space="preserve"> de l’ACR.</w:t>
      </w:r>
    </w:p>
    <w:p w:rsidR="00A90B0A" w:rsidRPr="006F5D3B" w:rsidRDefault="006F5D3B" w:rsidP="00B7412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Asymétrie de densité focale homogène aux dépens du QSE droit.</w:t>
      </w:r>
    </w:p>
    <w:p w:rsidR="00A90B0A" w:rsidRPr="006F5D3B" w:rsidRDefault="00A90B0A" w:rsidP="00A90B0A">
      <w:pPr>
        <w:rPr>
          <w:bCs/>
          <w:color w:val="000000"/>
          <w:sz w:val="24"/>
          <w:szCs w:val="24"/>
        </w:rPr>
      </w:pPr>
      <w:r w:rsidRPr="006F5D3B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6F5D3B" w:rsidRDefault="00A90B0A" w:rsidP="00B7412A">
      <w:pPr>
        <w:rPr>
          <w:bCs/>
          <w:color w:val="000000"/>
          <w:sz w:val="24"/>
          <w:szCs w:val="24"/>
        </w:rPr>
      </w:pPr>
      <w:r w:rsidRPr="006F5D3B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6F5D3B" w:rsidRDefault="00A90B0A" w:rsidP="00A90B0A">
      <w:pPr>
        <w:rPr>
          <w:bCs/>
          <w:color w:val="000000"/>
          <w:sz w:val="24"/>
          <w:szCs w:val="24"/>
        </w:rPr>
      </w:pPr>
    </w:p>
    <w:p w:rsidR="00A90B0A" w:rsidRPr="006F5D3B" w:rsidRDefault="00A90B0A" w:rsidP="0097605D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6F5D3B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97605D" w:rsidRPr="006F5D3B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4012E8" w:rsidRDefault="00D872EB" w:rsidP="0030172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L’asymétrie sus-décrite correspond à de la trame contenant en son sein deux formations kystiques à paroi fine et régulière, à contenu finement échogène, mesurant </w:t>
      </w:r>
      <w:r w:rsidR="00301727">
        <w:rPr>
          <w:bCs/>
          <w:color w:val="000000"/>
          <w:sz w:val="24"/>
          <w:szCs w:val="24"/>
        </w:rPr>
        <w:t>5,7 mm et 4 mm.</w:t>
      </w:r>
    </w:p>
    <w:p w:rsidR="00A90B0A" w:rsidRPr="006F5D3B" w:rsidRDefault="004012E8" w:rsidP="0030172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Il s’associe la présence d’une autre formation kystique à paroi fin et régulière, à contenu homogène anéchogène, sus-aréolaire gauche, mesurant </w:t>
      </w:r>
      <w:r w:rsidR="00301727">
        <w:rPr>
          <w:bCs/>
          <w:color w:val="000000"/>
          <w:sz w:val="24"/>
          <w:szCs w:val="24"/>
        </w:rPr>
        <w:t>2,3</w:t>
      </w:r>
      <w:r w:rsidR="00190F26">
        <w:rPr>
          <w:bCs/>
          <w:color w:val="000000"/>
          <w:sz w:val="24"/>
          <w:szCs w:val="24"/>
        </w:rPr>
        <w:t xml:space="preserve"> mm.</w:t>
      </w:r>
    </w:p>
    <w:p w:rsidR="00A90B0A" w:rsidRPr="006F5D3B" w:rsidRDefault="00A90B0A" w:rsidP="007737D9">
      <w:pPr>
        <w:rPr>
          <w:bCs/>
          <w:color w:val="000000"/>
          <w:sz w:val="24"/>
          <w:szCs w:val="24"/>
        </w:rPr>
      </w:pPr>
      <w:r w:rsidRPr="006F5D3B">
        <w:rPr>
          <w:bCs/>
          <w:color w:val="000000"/>
          <w:sz w:val="24"/>
          <w:szCs w:val="24"/>
        </w:rPr>
        <w:t>Absence d’ombre acoustique pathologique.</w:t>
      </w:r>
    </w:p>
    <w:p w:rsidR="00A90B0A" w:rsidRPr="006F5D3B" w:rsidRDefault="004012E8" w:rsidP="007737D9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Ectasie canalaire rétro-aréolaire droite à paroi fine et régulière, à contenu homogène anéchogène.</w:t>
      </w:r>
    </w:p>
    <w:p w:rsidR="00A90B0A" w:rsidRPr="006F5D3B" w:rsidRDefault="00A90B0A" w:rsidP="00A90B0A">
      <w:pPr>
        <w:rPr>
          <w:bCs/>
          <w:color w:val="000000"/>
          <w:sz w:val="24"/>
          <w:szCs w:val="24"/>
        </w:rPr>
      </w:pPr>
      <w:r w:rsidRPr="006F5D3B">
        <w:rPr>
          <w:bCs/>
          <w:color w:val="000000"/>
          <w:sz w:val="24"/>
          <w:szCs w:val="24"/>
        </w:rPr>
        <w:t>Absence d’adénopathies axillaires.</w:t>
      </w:r>
    </w:p>
    <w:p w:rsidR="00A90B0A" w:rsidRPr="006F5D3B" w:rsidRDefault="00A90B0A" w:rsidP="00A90B0A">
      <w:pPr>
        <w:rPr>
          <w:bCs/>
          <w:color w:val="000000"/>
          <w:sz w:val="24"/>
          <w:szCs w:val="24"/>
        </w:rPr>
      </w:pPr>
    </w:p>
    <w:p w:rsidR="00A90B0A" w:rsidRPr="006F5D3B" w:rsidRDefault="006F5D3B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6F5D3B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6F5D3B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Default="00A05C91" w:rsidP="004012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6F5D3B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4012E8">
        <w:rPr>
          <w:b/>
          <w:bCs/>
          <w:i/>
          <w:color w:val="000000"/>
          <w:sz w:val="24"/>
          <w:szCs w:val="24"/>
        </w:rPr>
        <w:t>en faveur d</w:t>
      </w:r>
      <w:r w:rsidR="007737D9">
        <w:rPr>
          <w:b/>
          <w:bCs/>
          <w:i/>
          <w:color w:val="000000"/>
          <w:sz w:val="24"/>
          <w:szCs w:val="24"/>
        </w:rPr>
        <w:t>’</w:t>
      </w:r>
      <w:r w:rsidR="004012E8">
        <w:rPr>
          <w:b/>
          <w:bCs/>
          <w:i/>
          <w:color w:val="000000"/>
          <w:sz w:val="24"/>
          <w:szCs w:val="24"/>
        </w:rPr>
        <w:t>une asymétrie</w:t>
      </w:r>
      <w:r w:rsidR="003E476F">
        <w:rPr>
          <w:b/>
          <w:bCs/>
          <w:i/>
          <w:color w:val="000000"/>
          <w:sz w:val="24"/>
          <w:szCs w:val="24"/>
        </w:rPr>
        <w:t xml:space="preserve"> focale de densité d’involution </w:t>
      </w:r>
      <w:r w:rsidR="004012E8">
        <w:rPr>
          <w:b/>
          <w:bCs/>
          <w:i/>
          <w:color w:val="000000"/>
          <w:sz w:val="24"/>
          <w:szCs w:val="24"/>
        </w:rPr>
        <w:t>contenant des kystes remaniés en son sein.</w:t>
      </w:r>
    </w:p>
    <w:p w:rsidR="00C24CB4" w:rsidRDefault="00A05C91" w:rsidP="004012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C24CB4">
        <w:rPr>
          <w:b/>
          <w:bCs/>
          <w:i/>
          <w:color w:val="000000"/>
          <w:sz w:val="24"/>
          <w:szCs w:val="24"/>
        </w:rPr>
        <w:t>Kyste simple mammaire gauche.</w:t>
      </w:r>
    </w:p>
    <w:p w:rsidR="001449B9" w:rsidRPr="006F5D3B" w:rsidRDefault="00A05C91" w:rsidP="004012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1449B9">
        <w:rPr>
          <w:b/>
          <w:bCs/>
          <w:i/>
          <w:color w:val="000000"/>
          <w:sz w:val="24"/>
          <w:szCs w:val="24"/>
        </w:rPr>
        <w:t>Ectasie canalaire simple rétro-aréolaire droite.</w:t>
      </w:r>
    </w:p>
    <w:p w:rsidR="00A90B0A" w:rsidRPr="006F5D3B" w:rsidRDefault="00A05C91" w:rsidP="001449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6F5D3B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1449B9">
        <w:rPr>
          <w:b/>
          <w:bCs/>
          <w:i/>
          <w:color w:val="000000"/>
          <w:sz w:val="24"/>
          <w:szCs w:val="24"/>
        </w:rPr>
        <w:t>3</w:t>
      </w:r>
      <w:r w:rsidR="00A90B0A" w:rsidRPr="006F5D3B">
        <w:rPr>
          <w:b/>
          <w:bCs/>
          <w:i/>
          <w:color w:val="000000"/>
          <w:sz w:val="24"/>
          <w:szCs w:val="24"/>
        </w:rPr>
        <w:t xml:space="preserve"> de l’ACR</w:t>
      </w:r>
      <w:r w:rsidR="001449B9">
        <w:rPr>
          <w:b/>
          <w:bCs/>
          <w:i/>
          <w:color w:val="000000"/>
          <w:sz w:val="24"/>
          <w:szCs w:val="24"/>
        </w:rPr>
        <w:t xml:space="preserve"> à droite et BI-RADS 2 de l'ACR à gauche</w:t>
      </w:r>
      <w:r w:rsidR="00A90B0A" w:rsidRPr="006F5D3B">
        <w:rPr>
          <w:b/>
          <w:bCs/>
          <w:i/>
          <w:color w:val="000000"/>
          <w:sz w:val="24"/>
          <w:szCs w:val="24"/>
        </w:rPr>
        <w:t>.</w:t>
      </w:r>
    </w:p>
    <w:p w:rsidR="00EE4ACF" w:rsidRPr="006F5D3B" w:rsidRDefault="00A05C91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A recontrôler entre 04 et 06 mois par échographie mammaire.</w:t>
      </w:r>
    </w:p>
    <w:p w:rsidR="00EB2A23" w:rsidRPr="006F5D3B" w:rsidRDefault="00BC18CE">
      <w:pPr>
        <w:tabs>
          <w:tab w:val="left" w:pos="3686"/>
        </w:tabs>
        <w:rPr>
          <w:sz w:val="24"/>
          <w:szCs w:val="24"/>
        </w:rPr>
      </w:pPr>
      <w:r w:rsidRPr="006F5D3B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  <w:szCs w:val="24"/>
        </w:rPr>
      </w:pPr>
    </w:p>
    <w:p w:rsidR="003E476F" w:rsidRPr="006F5D3B" w:rsidRDefault="003E476F">
      <w:pPr>
        <w:tabs>
          <w:tab w:val="left" w:pos="3686"/>
        </w:tabs>
        <w:rPr>
          <w:sz w:val="24"/>
          <w:szCs w:val="24"/>
        </w:rPr>
      </w:pPr>
    </w:p>
    <w:p w:rsidR="00EB2A23" w:rsidRPr="006F5D3B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6F5D3B" w:rsidRDefault="00EB2A23">
      <w:pPr>
        <w:rPr>
          <w:b/>
          <w:color w:val="000000"/>
          <w:sz w:val="24"/>
          <w:szCs w:val="24"/>
        </w:rPr>
      </w:pPr>
    </w:p>
    <w:p w:rsidR="00EB2A23" w:rsidRPr="006F5D3B" w:rsidRDefault="00EB2A23">
      <w:pPr>
        <w:rPr>
          <w:sz w:val="24"/>
          <w:szCs w:val="24"/>
        </w:rPr>
      </w:pPr>
    </w:p>
    <w:p w:rsidR="00EB2A23" w:rsidRPr="006F5D3B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1E74" w:rsidRDefault="00A51E74" w:rsidP="00FF41A6">
      <w:r>
        <w:separator/>
      </w:r>
    </w:p>
  </w:endnote>
  <w:endnote w:type="continuationSeparator" w:id="0">
    <w:p w:rsidR="00A51E74" w:rsidRDefault="00A51E7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7D9" w:rsidRDefault="007737D9" w:rsidP="00F515B5">
    <w:pPr>
      <w:jc w:val="center"/>
      <w:rPr>
        <w:rFonts w:eastAsia="Calibri"/>
        <w:i/>
        <w:iCs/>
        <w:sz w:val="18"/>
        <w:szCs w:val="18"/>
      </w:rPr>
    </w:pPr>
  </w:p>
  <w:p w:rsidR="007737D9" w:rsidRDefault="007737D9" w:rsidP="00F515B5">
    <w:pPr>
      <w:tabs>
        <w:tab w:val="center" w:pos="4536"/>
        <w:tab w:val="right" w:pos="9072"/>
      </w:tabs>
      <w:jc w:val="center"/>
    </w:pPr>
  </w:p>
  <w:p w:rsidR="007737D9" w:rsidRPr="00F515B5" w:rsidRDefault="007737D9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1E74" w:rsidRDefault="00A51E74" w:rsidP="00FF41A6">
      <w:r>
        <w:separator/>
      </w:r>
    </w:p>
  </w:footnote>
  <w:footnote w:type="continuationSeparator" w:id="0">
    <w:p w:rsidR="00A51E74" w:rsidRDefault="00A51E7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7D9" w:rsidRDefault="007737D9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7737D9" w:rsidRPr="00426781" w:rsidRDefault="007737D9" w:rsidP="00FF41A6">
    <w:pPr>
      <w:pStyle w:val="NoSpacing"/>
      <w:jc w:val="center"/>
      <w:rPr>
        <w:rFonts w:ascii="Tw Cen MT" w:hAnsi="Tw Cen MT"/>
      </w:rPr>
    </w:pPr>
  </w:p>
  <w:p w:rsidR="007737D9" w:rsidRDefault="007737D9" w:rsidP="00FF41A6">
    <w:pPr>
      <w:pStyle w:val="NoSpacing"/>
      <w:jc w:val="center"/>
      <w:rPr>
        <w:rFonts w:ascii="Tw Cen MT" w:hAnsi="Tw Cen MT"/>
      </w:rPr>
    </w:pPr>
  </w:p>
  <w:p w:rsidR="007737D9" w:rsidRPr="00D104DB" w:rsidRDefault="007737D9" w:rsidP="00FF41A6">
    <w:pPr>
      <w:pStyle w:val="NoSpacing"/>
      <w:jc w:val="center"/>
      <w:rPr>
        <w:sz w:val="16"/>
        <w:szCs w:val="16"/>
      </w:rPr>
    </w:pPr>
  </w:p>
  <w:p w:rsidR="007737D9" w:rsidRDefault="007737D9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143285"/>
    <w:rsid w:val="001449B9"/>
    <w:rsid w:val="00190F26"/>
    <w:rsid w:val="00266C96"/>
    <w:rsid w:val="00291FF6"/>
    <w:rsid w:val="002B58CC"/>
    <w:rsid w:val="00301727"/>
    <w:rsid w:val="00320AF6"/>
    <w:rsid w:val="0038353D"/>
    <w:rsid w:val="00397A26"/>
    <w:rsid w:val="003E476F"/>
    <w:rsid w:val="004012E8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96448"/>
    <w:rsid w:val="006A5983"/>
    <w:rsid w:val="006D7855"/>
    <w:rsid w:val="006E396B"/>
    <w:rsid w:val="006F5D3B"/>
    <w:rsid w:val="007571A5"/>
    <w:rsid w:val="007737D9"/>
    <w:rsid w:val="00793C15"/>
    <w:rsid w:val="007A5A4E"/>
    <w:rsid w:val="007B2F4A"/>
    <w:rsid w:val="007F2AFE"/>
    <w:rsid w:val="008A239B"/>
    <w:rsid w:val="008B1520"/>
    <w:rsid w:val="00915587"/>
    <w:rsid w:val="0097605D"/>
    <w:rsid w:val="00991837"/>
    <w:rsid w:val="00A05C91"/>
    <w:rsid w:val="00A07BE0"/>
    <w:rsid w:val="00A11F2B"/>
    <w:rsid w:val="00A51E74"/>
    <w:rsid w:val="00A76F00"/>
    <w:rsid w:val="00A90B0A"/>
    <w:rsid w:val="00AB3DCA"/>
    <w:rsid w:val="00AF6EEF"/>
    <w:rsid w:val="00B00E2E"/>
    <w:rsid w:val="00B511D7"/>
    <w:rsid w:val="00B625CF"/>
    <w:rsid w:val="00B7412A"/>
    <w:rsid w:val="00B75A57"/>
    <w:rsid w:val="00B90949"/>
    <w:rsid w:val="00BB7310"/>
    <w:rsid w:val="00BC18CE"/>
    <w:rsid w:val="00BE1C55"/>
    <w:rsid w:val="00C24CB4"/>
    <w:rsid w:val="00C7676D"/>
    <w:rsid w:val="00CD057F"/>
    <w:rsid w:val="00CE2491"/>
    <w:rsid w:val="00D001AD"/>
    <w:rsid w:val="00D159C3"/>
    <w:rsid w:val="00D77CF5"/>
    <w:rsid w:val="00D872EB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59F878B-1A4F-4793-BD8E-4006F4B2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1282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2023-09-18T22:15:00Z</dcterms:created>
  <dcterms:modified xsi:type="dcterms:W3CDTF">2023-09-18T22:15:00Z</dcterms:modified>
</cp:coreProperties>
</file>