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325D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1482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pat-272 40 ANS </w:t>
      </w:r>
      <w:r w:rsidR="00BC18CE">
        <w:rPr>
          <w:b/>
          <w:color w:val="000000"/>
          <w:sz w:val="24"/>
        </w:rPr>
        <w:t xml:space="preserve"> </w:t>
      </w:r>
      <w:r w:rsidR="000325D8">
        <w:rPr>
          <w:b/>
          <w:color w:val="000000"/>
          <w:sz w:val="24"/>
        </w:rPr>
        <w:t>MAMMOGRAPHIE/ ECHO COMPRISE</w:t>
      </w:r>
      <w:r w:rsidR="00E7105B">
        <w:rPr>
          <w:b/>
          <w:color w:val="000000"/>
          <w:sz w:val="24"/>
        </w:rPr>
        <w:t>+ TOMOSYNTHESE</w:t>
      </w: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E710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E7105B">
        <w:rPr>
          <w:bCs/>
          <w:color w:val="000000"/>
          <w:sz w:val="24"/>
        </w:rPr>
        <w:t xml:space="preserve"> denses hétérogène, </w:t>
      </w:r>
      <w:r>
        <w:rPr>
          <w:bCs/>
          <w:color w:val="000000"/>
          <w:sz w:val="24"/>
        </w:rPr>
        <w:t xml:space="preserve">type </w:t>
      </w:r>
      <w:r w:rsidR="00E7105B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E7105B" w:rsidRDefault="00E7105B" w:rsidP="00E710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denses de tonalité hydrique homogène, bilatérales en projection du QII gauche et du QSE droit, de contours circonscrits partiellement masqués par l’opacité mammaire.</w:t>
      </w:r>
    </w:p>
    <w:p w:rsidR="00E7105B" w:rsidRDefault="00E7105B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E7105B">
        <w:rPr>
          <w:bCs/>
          <w:color w:val="000000"/>
          <w:sz w:val="24"/>
        </w:rPr>
        <w:t xml:space="preserve"> ou de distorsion architecturale.</w:t>
      </w:r>
      <w:r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E7105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E7105B" w:rsidRDefault="00E7105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nodulaires micro-kystiques bien circonscrites, à paroi fine à contenu transonore homogène, situées et mesurées comme suit :</w:t>
      </w:r>
    </w:p>
    <w:p w:rsidR="00E7105B" w:rsidRPr="00416998" w:rsidRDefault="00E7105B" w:rsidP="0041699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16998">
        <w:rPr>
          <w:bCs/>
          <w:i/>
          <w:iCs/>
          <w:color w:val="000000"/>
          <w:sz w:val="24"/>
        </w:rPr>
        <w:t>QSE gauche de 4 mm.</w:t>
      </w:r>
    </w:p>
    <w:p w:rsidR="00E7105B" w:rsidRPr="00416998" w:rsidRDefault="00E7105B" w:rsidP="0041699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16998">
        <w:rPr>
          <w:bCs/>
          <w:i/>
          <w:iCs/>
          <w:color w:val="000000"/>
          <w:sz w:val="24"/>
        </w:rPr>
        <w:t>QII gauche : deux micro-kystes contigus  de 4,5 mm et 4 mm.</w:t>
      </w:r>
    </w:p>
    <w:p w:rsidR="00E7105B" w:rsidRPr="00416998" w:rsidRDefault="00E7105B" w:rsidP="0041699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16998">
        <w:rPr>
          <w:bCs/>
          <w:i/>
          <w:iCs/>
          <w:color w:val="000000"/>
          <w:sz w:val="24"/>
        </w:rPr>
        <w:t>Sus-aréolaire externe droit de 6,5 mm.</w:t>
      </w:r>
    </w:p>
    <w:p w:rsidR="00E7105B" w:rsidRPr="00416998" w:rsidRDefault="00E7105B" w:rsidP="0041699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16998">
        <w:rPr>
          <w:bCs/>
          <w:i/>
          <w:iCs/>
          <w:color w:val="000000"/>
          <w:sz w:val="24"/>
        </w:rPr>
        <w:t>QSE droit de 5,7 mm et 3 mm.</w:t>
      </w:r>
    </w:p>
    <w:p w:rsidR="00E7105B" w:rsidRDefault="00E7105B" w:rsidP="000A24F3">
      <w:pPr>
        <w:rPr>
          <w:bCs/>
          <w:color w:val="000000"/>
          <w:sz w:val="24"/>
        </w:rPr>
      </w:pPr>
    </w:p>
    <w:p w:rsidR="00E7105B" w:rsidRDefault="00E7105B" w:rsidP="00E710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du QSE droit de topographie sus-aréolaire externe ovalaire de contours réguliers de grand axe horizontal, d’échostructure hypoéchogène, homogène, non atténuante avec macro-lobulation des contours, mesurant 9x3,5 mm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4169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4169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4169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E7105B" w:rsidRDefault="00E7105B" w:rsidP="00E710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416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45"/>
        </w:tabs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7105B">
        <w:rPr>
          <w:b/>
          <w:bCs/>
          <w:i/>
          <w:color w:val="000000"/>
          <w:sz w:val="24"/>
        </w:rPr>
        <w:t>retrouve des micro-kystes simples bilatéraux et une formation nodulaire sus-aréolaire externe du sein droit</w:t>
      </w:r>
      <w:r w:rsidR="00416998">
        <w:rPr>
          <w:b/>
          <w:bCs/>
          <w:i/>
          <w:color w:val="000000"/>
          <w:sz w:val="24"/>
        </w:rPr>
        <w:t xml:space="preserve"> de sémiologie bénigne</w:t>
      </w:r>
      <w:r w:rsidR="00E7105B">
        <w:rPr>
          <w:b/>
          <w:bCs/>
          <w:i/>
          <w:color w:val="000000"/>
          <w:sz w:val="24"/>
        </w:rPr>
        <w:t xml:space="preserve">,  justifiant </w:t>
      </w:r>
      <w:r w:rsidR="00416998">
        <w:rPr>
          <w:b/>
          <w:bCs/>
          <w:i/>
          <w:color w:val="000000"/>
          <w:sz w:val="24"/>
        </w:rPr>
        <w:t xml:space="preserve">néanmoins </w:t>
      </w:r>
      <w:r w:rsidR="00E7105B">
        <w:rPr>
          <w:b/>
          <w:bCs/>
          <w:i/>
          <w:color w:val="000000"/>
          <w:sz w:val="24"/>
        </w:rPr>
        <w:t>une vérification cytologique vu les antécédents familiaux de la patiente.</w:t>
      </w:r>
    </w:p>
    <w:p w:rsidR="000A24F3" w:rsidRDefault="000A24F3" w:rsidP="00416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416998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416998">
        <w:rPr>
          <w:b/>
          <w:bCs/>
          <w:i/>
          <w:color w:val="000000"/>
          <w:sz w:val="24"/>
        </w:rPr>
        <w:t xml:space="preserve"> à droite et BIRADS 2 de l’ACR à gauche.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47A" w:rsidRDefault="00D8647A" w:rsidP="00FF41A6">
      <w:r>
        <w:separator/>
      </w:r>
    </w:p>
  </w:endnote>
  <w:endnote w:type="continuationSeparator" w:id="0">
    <w:p w:rsidR="00D8647A" w:rsidRDefault="00D8647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998" w:rsidRDefault="00416998" w:rsidP="00F515B5">
    <w:pPr>
      <w:jc w:val="center"/>
      <w:rPr>
        <w:rFonts w:eastAsia="Calibri"/>
        <w:i/>
        <w:iCs/>
        <w:sz w:val="18"/>
        <w:szCs w:val="18"/>
      </w:rPr>
    </w:pPr>
  </w:p>
  <w:p w:rsidR="00416998" w:rsidRDefault="00416998" w:rsidP="00F515B5">
    <w:pPr>
      <w:tabs>
        <w:tab w:val="center" w:pos="4536"/>
        <w:tab w:val="right" w:pos="9072"/>
      </w:tabs>
      <w:jc w:val="center"/>
    </w:pPr>
  </w:p>
  <w:p w:rsidR="00416998" w:rsidRPr="00F515B5" w:rsidRDefault="0041699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47A" w:rsidRDefault="00D8647A" w:rsidP="00FF41A6">
      <w:r>
        <w:separator/>
      </w:r>
    </w:p>
  </w:footnote>
  <w:footnote w:type="continuationSeparator" w:id="0">
    <w:p w:rsidR="00D8647A" w:rsidRDefault="00D8647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998" w:rsidRDefault="0041699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16998" w:rsidRPr="00426781" w:rsidRDefault="00416998" w:rsidP="00FF41A6">
    <w:pPr>
      <w:pStyle w:val="NoSpacing"/>
      <w:jc w:val="center"/>
      <w:rPr>
        <w:rFonts w:ascii="Tw Cen MT" w:hAnsi="Tw Cen MT"/>
      </w:rPr>
    </w:pPr>
  </w:p>
  <w:p w:rsidR="00416998" w:rsidRDefault="00416998" w:rsidP="00FF41A6">
    <w:pPr>
      <w:pStyle w:val="NoSpacing"/>
      <w:jc w:val="center"/>
      <w:rPr>
        <w:rFonts w:ascii="Tw Cen MT" w:hAnsi="Tw Cen MT"/>
      </w:rPr>
    </w:pPr>
  </w:p>
  <w:p w:rsidR="00416998" w:rsidRPr="00D104DB" w:rsidRDefault="00416998" w:rsidP="00FF41A6">
    <w:pPr>
      <w:pStyle w:val="NoSpacing"/>
      <w:jc w:val="center"/>
      <w:rPr>
        <w:sz w:val="16"/>
        <w:szCs w:val="16"/>
      </w:rPr>
    </w:pPr>
  </w:p>
  <w:p w:rsidR="00416998" w:rsidRDefault="00416998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27C8F"/>
    <w:multiLevelType w:val="hybridMultilevel"/>
    <w:tmpl w:val="95F08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325D8"/>
    <w:rsid w:val="00085A04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16998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F2AFE"/>
    <w:rsid w:val="008B1520"/>
    <w:rsid w:val="00914821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8647A"/>
    <w:rsid w:val="00DC7E65"/>
    <w:rsid w:val="00DE3E17"/>
    <w:rsid w:val="00E25639"/>
    <w:rsid w:val="00E31EF8"/>
    <w:rsid w:val="00E7105B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A73410-87B0-48DE-9A62-9055B47B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1652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2023-06-26T12:18:00Z</cp:lastPrinted>
  <dcterms:created xsi:type="dcterms:W3CDTF">2023-09-18T22:16:00Z</dcterms:created>
  <dcterms:modified xsi:type="dcterms:W3CDTF">2023-09-18T22:16:00Z</dcterms:modified>
</cp:coreProperties>
</file>