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C52889" w:rsidRDefault="00C52889">
      <w:pPr>
        <w:jc w:val="right"/>
        <w:rPr>
          <w:bCs/>
          <w:color w:val="000000"/>
          <w:sz w:val="24"/>
        </w:rPr>
      </w:pPr>
    </w:p>
    <w:p w:rsidR="00EB2A23" w:rsidRDefault="00CE1B2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juillet 2023</w:t>
      </w:r>
    </w:p>
    <w:p w:rsidR="007C68EA" w:rsidRDefault="007C68E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623D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 58 ANS </w:t>
      </w:r>
    </w:p>
    <w:p w:rsidR="007C68E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CE1B2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7C68EA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E1FF8" w:rsidRDefault="007C68EA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du QSE gauche réniforme, bien limitée avec encoche graisseuse infracentimétrique.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C52889" w:rsidRDefault="00C52889" w:rsidP="008E1FF8">
      <w:pPr>
        <w:rPr>
          <w:bCs/>
          <w:color w:val="000000"/>
          <w:sz w:val="24"/>
        </w:rPr>
      </w:pPr>
    </w:p>
    <w:p w:rsidR="008E1FF8" w:rsidRDefault="0021386F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conjonctivo-graisseuse hétérogène. </w:t>
      </w:r>
    </w:p>
    <w:p w:rsidR="008E1FF8" w:rsidRDefault="0023772D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L’opacité sus décrite correspond à un ganglion intra-mammaire du QSE du sein </w:t>
      </w:r>
      <w:r w:rsidRPr="00C52889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 de morphologie conservée, à cortex fin et hile graisseux, mesurant 03mm de petit axe.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52889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52889">
        <w:rPr>
          <w:b/>
          <w:bCs/>
          <w:i/>
          <w:color w:val="000000"/>
          <w:sz w:val="24"/>
        </w:rPr>
        <w:t>n’objective pas de lésion focale péjorative.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52889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</w:t>
      </w:r>
      <w:r w:rsidR="00C52889">
        <w:rPr>
          <w:b/>
          <w:bCs/>
          <w:i/>
          <w:color w:val="000000"/>
          <w:sz w:val="24"/>
        </w:rPr>
        <w:t xml:space="preserve">à </w:t>
      </w:r>
      <w:r w:rsidR="00C52889" w:rsidRPr="00C52889">
        <w:rPr>
          <w:b/>
          <w:bCs/>
          <w:i/>
          <w:color w:val="000000"/>
          <w:sz w:val="24"/>
        </w:rPr>
        <w:t>gauche</w:t>
      </w:r>
      <w:r w:rsidR="00C52889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de l’ACR</w:t>
      </w:r>
      <w:r w:rsidR="00C52889">
        <w:rPr>
          <w:b/>
          <w:bCs/>
          <w:i/>
          <w:color w:val="000000"/>
          <w:sz w:val="24"/>
        </w:rPr>
        <w:t xml:space="preserve"> (ganglion intra-mammaire) et BIRADS 1 de l’ACR à droite</w:t>
      </w:r>
      <w:r>
        <w:rPr>
          <w:b/>
          <w:bCs/>
          <w:i/>
          <w:color w:val="000000"/>
          <w:sz w:val="24"/>
        </w:rPr>
        <w:t>.</w:t>
      </w:r>
    </w:p>
    <w:p w:rsidR="00C52889" w:rsidRPr="00C52889" w:rsidRDefault="00C52889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</w:t>
      </w:r>
      <w:r>
        <w:rPr>
          <w:bCs/>
          <w:color w:val="000000"/>
          <w:sz w:val="24"/>
          <w:szCs w:val="24"/>
        </w:rPr>
        <w:t>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C52889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ACD" w:rsidRDefault="00256ACD" w:rsidP="00FF41A6">
      <w:r>
        <w:separator/>
      </w:r>
    </w:p>
  </w:endnote>
  <w:endnote w:type="continuationSeparator" w:id="0">
    <w:p w:rsidR="00256ACD" w:rsidRDefault="00256AC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ACD" w:rsidRDefault="00256ACD" w:rsidP="00FF41A6">
      <w:r>
        <w:separator/>
      </w:r>
    </w:p>
  </w:footnote>
  <w:footnote w:type="continuationSeparator" w:id="0">
    <w:p w:rsidR="00256ACD" w:rsidRDefault="00256AC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1386F"/>
    <w:rsid w:val="0023772D"/>
    <w:rsid w:val="00256ACD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C68EA"/>
    <w:rsid w:val="007F2AFE"/>
    <w:rsid w:val="008B1520"/>
    <w:rsid w:val="008E1FF8"/>
    <w:rsid w:val="00915587"/>
    <w:rsid w:val="009623D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47EF"/>
    <w:rsid w:val="00C52889"/>
    <w:rsid w:val="00C7676D"/>
    <w:rsid w:val="00CD057F"/>
    <w:rsid w:val="00CE1B2E"/>
    <w:rsid w:val="00D159C3"/>
    <w:rsid w:val="00DC7E65"/>
    <w:rsid w:val="00DE3E17"/>
    <w:rsid w:val="00DE70BC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5C8CDE-83F6-4D3B-B6D2-648E8DEE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CLIENT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