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729B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64B40" w:rsidRPr="008B1520" w:rsidRDefault="00960640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pat-307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64B40" w:rsidRDefault="00D729BE" w:rsidP="00764B4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64B40">
        <w:rPr>
          <w:b/>
          <w:i/>
          <w:iCs/>
          <w:color w:val="000000"/>
          <w:sz w:val="24"/>
        </w:rPr>
        <w:t>MAMMOGRAPHIE</w:t>
      </w:r>
      <w:r w:rsidR="00764B40" w:rsidRPr="00764B4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64B40" w:rsidRDefault="0096769E" w:rsidP="0096769E">
      <w:pPr>
        <w:rPr>
          <w:b/>
          <w:bCs/>
          <w:color w:val="000000"/>
          <w:sz w:val="24"/>
          <w:u w:val="single"/>
        </w:rPr>
      </w:pPr>
      <w:r w:rsidRPr="00764B40">
        <w:rPr>
          <w:b/>
          <w:bCs/>
          <w:color w:val="000000"/>
          <w:sz w:val="24"/>
          <w:u w:val="single"/>
        </w:rPr>
        <w:t>INDICATION :</w:t>
      </w:r>
    </w:p>
    <w:p w:rsidR="0096769E" w:rsidRPr="00764B40" w:rsidRDefault="0096769E" w:rsidP="0096769E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>Mammographie de dépistage.</w:t>
      </w:r>
    </w:p>
    <w:p w:rsidR="0096769E" w:rsidRPr="00764B40" w:rsidRDefault="0096769E" w:rsidP="0096769E">
      <w:pPr>
        <w:rPr>
          <w:bCs/>
          <w:color w:val="000000"/>
          <w:sz w:val="24"/>
        </w:rPr>
      </w:pPr>
    </w:p>
    <w:p w:rsidR="0096769E" w:rsidRPr="00764B40" w:rsidRDefault="0096769E" w:rsidP="0096769E">
      <w:pPr>
        <w:rPr>
          <w:b/>
          <w:bCs/>
          <w:color w:val="000000"/>
          <w:sz w:val="24"/>
          <w:u w:val="single"/>
        </w:rPr>
      </w:pPr>
      <w:r w:rsidRPr="00764B40">
        <w:rPr>
          <w:b/>
          <w:bCs/>
          <w:color w:val="000000"/>
          <w:sz w:val="24"/>
          <w:u w:val="single"/>
        </w:rPr>
        <w:t>RESULTATS:</w:t>
      </w:r>
    </w:p>
    <w:p w:rsidR="0096769E" w:rsidRPr="00764B4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764B4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64B4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764B40" w:rsidRDefault="0096769E" w:rsidP="00B00A4D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 xml:space="preserve">Seins </w:t>
      </w:r>
      <w:r w:rsidR="0009073E">
        <w:rPr>
          <w:bCs/>
          <w:color w:val="000000"/>
          <w:sz w:val="24"/>
        </w:rPr>
        <w:t>denses</w:t>
      </w:r>
      <w:r w:rsidRPr="00764B40">
        <w:rPr>
          <w:bCs/>
          <w:color w:val="000000"/>
          <w:sz w:val="24"/>
        </w:rPr>
        <w:t xml:space="preserve"> hétérogènes type </w:t>
      </w:r>
      <w:r w:rsidR="0009073E">
        <w:rPr>
          <w:bCs/>
          <w:color w:val="000000"/>
          <w:sz w:val="24"/>
        </w:rPr>
        <w:t>c</w:t>
      </w:r>
      <w:r w:rsidRPr="00764B40">
        <w:rPr>
          <w:bCs/>
          <w:color w:val="000000"/>
          <w:sz w:val="24"/>
        </w:rPr>
        <w:t xml:space="preserve"> de l’ACR</w:t>
      </w:r>
      <w:r w:rsidR="0009073E">
        <w:rPr>
          <w:bCs/>
          <w:color w:val="000000"/>
          <w:sz w:val="24"/>
        </w:rPr>
        <w:t>, émaillés d’opacités multiples bien circonscrites, régulières, éparses et bilatérales</w:t>
      </w:r>
      <w:r w:rsidRPr="00764B40">
        <w:rPr>
          <w:bCs/>
          <w:color w:val="000000"/>
          <w:sz w:val="24"/>
        </w:rPr>
        <w:t xml:space="preserve">. </w:t>
      </w:r>
    </w:p>
    <w:p w:rsidR="0096769E" w:rsidRPr="00764B40" w:rsidRDefault="0096769E" w:rsidP="00B00A4D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>Absence de désorganisation architecturale.</w:t>
      </w:r>
    </w:p>
    <w:p w:rsidR="0096769E" w:rsidRDefault="0096769E" w:rsidP="00B00A4D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>Absence de signal calcique à caractère péjoratif.</w:t>
      </w:r>
    </w:p>
    <w:p w:rsidR="004520E3" w:rsidRPr="00764B40" w:rsidRDefault="004520E3" w:rsidP="00B00A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rondes, sans caractère péjoratif.</w:t>
      </w:r>
    </w:p>
    <w:p w:rsidR="0096769E" w:rsidRPr="00764B40" w:rsidRDefault="0096769E" w:rsidP="00B00A4D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>Revêtement cutané fin et régulier.</w:t>
      </w:r>
    </w:p>
    <w:p w:rsidR="0096769E" w:rsidRPr="00764B40" w:rsidRDefault="0096769E" w:rsidP="00B00A4D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>Ganglions axillaires bilatéraux, à centre graisseux d’adiponécrose.</w:t>
      </w:r>
    </w:p>
    <w:p w:rsidR="0096769E" w:rsidRPr="00764B4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764B40" w:rsidRDefault="0096769E" w:rsidP="00764B40">
      <w:pPr>
        <w:rPr>
          <w:bCs/>
          <w:color w:val="000000"/>
          <w:sz w:val="24"/>
        </w:rPr>
      </w:pPr>
      <w:r w:rsidRPr="00764B40">
        <w:rPr>
          <w:b/>
          <w:bCs/>
          <w:i/>
          <w:color w:val="000000"/>
          <w:sz w:val="24"/>
          <w:u w:val="single"/>
        </w:rPr>
        <w:t>Echographie mammaire :</w:t>
      </w:r>
    </w:p>
    <w:p w:rsidR="007B7F87" w:rsidRDefault="007B7F87" w:rsidP="003C28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 balayage échographique visualise </w:t>
      </w:r>
      <w:r w:rsidR="007A7AC2">
        <w:rPr>
          <w:bCs/>
          <w:color w:val="000000"/>
          <w:sz w:val="24"/>
        </w:rPr>
        <w:t>deux formations nodulaires voisines du QSE gauche hypoéchogènes hétérogènes, sièges de zones liquidiennes bien circonscrites avec discret renforcement postérieur, estimées respectivement à 14,7x12 mm et 14,5x6,6 mm.</w:t>
      </w:r>
    </w:p>
    <w:p w:rsidR="007A7AC2" w:rsidRDefault="00CC78E0" w:rsidP="003C28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de multiples lésions kystiques à contenu transonore et net renforcement postérieur, éparses et bilatérales, réparties comme suit :</w:t>
      </w:r>
    </w:p>
    <w:p w:rsidR="00CC78E0" w:rsidRPr="00652A6F" w:rsidRDefault="00CC78E0" w:rsidP="00652A6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52A6F">
        <w:rPr>
          <w:bCs/>
          <w:i/>
          <w:iCs/>
          <w:color w:val="000000"/>
          <w:sz w:val="24"/>
        </w:rPr>
        <w:t>QME gauche de 7,5x4,5 mm.</w:t>
      </w:r>
    </w:p>
    <w:p w:rsidR="00CC78E0" w:rsidRPr="00652A6F" w:rsidRDefault="00CC78E0" w:rsidP="00652A6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52A6F">
        <w:rPr>
          <w:bCs/>
          <w:i/>
          <w:iCs/>
          <w:color w:val="000000"/>
          <w:sz w:val="24"/>
        </w:rPr>
        <w:t>QSE gauche de 8,5x6 mm.</w:t>
      </w:r>
    </w:p>
    <w:p w:rsidR="00CC78E0" w:rsidRPr="00652A6F" w:rsidRDefault="00CC78E0" w:rsidP="00652A6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52A6F">
        <w:rPr>
          <w:bCs/>
          <w:i/>
          <w:iCs/>
          <w:color w:val="000000"/>
          <w:sz w:val="24"/>
        </w:rPr>
        <w:t xml:space="preserve">Rétro-aréolaire droite </w:t>
      </w:r>
      <w:r w:rsidR="0031624D" w:rsidRPr="00652A6F">
        <w:rPr>
          <w:bCs/>
          <w:i/>
          <w:iCs/>
          <w:color w:val="000000"/>
          <w:sz w:val="24"/>
        </w:rPr>
        <w:t>de 6x4 mm.</w:t>
      </w:r>
    </w:p>
    <w:p w:rsidR="0031624D" w:rsidRPr="00652A6F" w:rsidRDefault="0031624D" w:rsidP="00652A6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52A6F">
        <w:rPr>
          <w:bCs/>
          <w:i/>
          <w:iCs/>
          <w:color w:val="000000"/>
          <w:sz w:val="24"/>
        </w:rPr>
        <w:t>QIE droit de 4x2,3 mm.</w:t>
      </w:r>
    </w:p>
    <w:p w:rsidR="0031624D" w:rsidRPr="00652A6F" w:rsidRDefault="0031624D" w:rsidP="00652A6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52A6F">
        <w:rPr>
          <w:bCs/>
          <w:i/>
          <w:iCs/>
          <w:color w:val="000000"/>
          <w:sz w:val="24"/>
        </w:rPr>
        <w:t>QME droit de 6,5x3,7 mm.</w:t>
      </w:r>
    </w:p>
    <w:p w:rsidR="0031624D" w:rsidRPr="00652A6F" w:rsidRDefault="0031624D" w:rsidP="00652A6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52A6F">
        <w:rPr>
          <w:bCs/>
          <w:i/>
          <w:iCs/>
          <w:color w:val="000000"/>
          <w:sz w:val="24"/>
        </w:rPr>
        <w:t>QSE droit de 5,2x4 mm et 4,2x3 mm.</w:t>
      </w:r>
    </w:p>
    <w:p w:rsidR="00BA2145" w:rsidRDefault="00BA2145" w:rsidP="003C28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A2145" w:rsidRPr="00764B40" w:rsidRDefault="00BA2145" w:rsidP="003C2878">
      <w:pPr>
        <w:rPr>
          <w:bCs/>
          <w:color w:val="000000"/>
          <w:sz w:val="24"/>
        </w:rPr>
      </w:pPr>
      <w:r w:rsidRPr="00764B40">
        <w:rPr>
          <w:bCs/>
          <w:color w:val="000000"/>
          <w:sz w:val="24"/>
        </w:rPr>
        <w:t>Revêtement cutané fin et régulier.</w:t>
      </w:r>
    </w:p>
    <w:p w:rsidR="00BA2145" w:rsidRDefault="00BA2145" w:rsidP="003C28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764B40" w:rsidRDefault="0096769E" w:rsidP="0096769E">
      <w:pPr>
        <w:rPr>
          <w:bCs/>
          <w:color w:val="000000"/>
          <w:sz w:val="24"/>
        </w:rPr>
      </w:pPr>
    </w:p>
    <w:p w:rsidR="0096769E" w:rsidRPr="00764B40" w:rsidRDefault="00764B4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764B40">
        <w:rPr>
          <w:b/>
          <w:bCs/>
          <w:color w:val="000000"/>
          <w:sz w:val="24"/>
          <w:u w:val="single"/>
        </w:rPr>
        <w:t>CONCLUSION :</w:t>
      </w:r>
    </w:p>
    <w:p w:rsidR="00BA2145" w:rsidRDefault="00F6685C" w:rsidP="00032F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764B40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A2145">
        <w:rPr>
          <w:b/>
          <w:bCs/>
          <w:i/>
          <w:color w:val="000000"/>
          <w:sz w:val="24"/>
        </w:rPr>
        <w:t xml:space="preserve">en faveur de deux formations nodulaires du QSE gauche </w:t>
      </w:r>
      <w:r w:rsidR="00032FB9">
        <w:rPr>
          <w:b/>
          <w:bCs/>
          <w:i/>
          <w:color w:val="000000"/>
          <w:sz w:val="24"/>
        </w:rPr>
        <w:t>dont l’analyse histologique d’une est en faveur d’un CCIS, sur terrain de mastopathie fibro-kystique bilatérale.</w:t>
      </w:r>
    </w:p>
    <w:p w:rsidR="00764B40" w:rsidRPr="00764B40" w:rsidRDefault="00764B4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6685C" w:rsidRDefault="00F6685C">
      <w:pPr>
        <w:pStyle w:val="Heading3"/>
        <w:rPr>
          <w:i/>
          <w:iCs/>
        </w:rPr>
      </w:pPr>
    </w:p>
    <w:p w:rsidR="00EB2A23" w:rsidRPr="00764B40" w:rsidRDefault="00EB2A23"/>
    <w:p w:rsidR="00320AF6" w:rsidRPr="00764B40" w:rsidRDefault="00320AF6"/>
    <w:sectPr w:rsidR="00320AF6" w:rsidRPr="00764B4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281" w:rsidRDefault="00065281" w:rsidP="00FF41A6">
      <w:r>
        <w:separator/>
      </w:r>
    </w:p>
  </w:endnote>
  <w:endnote w:type="continuationSeparator" w:id="0">
    <w:p w:rsidR="00065281" w:rsidRDefault="0006528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145" w:rsidRDefault="00BA2145" w:rsidP="00F515B5">
    <w:pPr>
      <w:jc w:val="center"/>
      <w:rPr>
        <w:rFonts w:eastAsia="Calibri"/>
        <w:i/>
        <w:iCs/>
        <w:sz w:val="18"/>
        <w:szCs w:val="18"/>
      </w:rPr>
    </w:pPr>
  </w:p>
  <w:p w:rsidR="00BA2145" w:rsidRDefault="00BA2145" w:rsidP="00F515B5">
    <w:pPr>
      <w:tabs>
        <w:tab w:val="center" w:pos="4536"/>
        <w:tab w:val="right" w:pos="9072"/>
      </w:tabs>
      <w:jc w:val="center"/>
    </w:pPr>
  </w:p>
  <w:p w:rsidR="00BA2145" w:rsidRPr="00F515B5" w:rsidRDefault="00BA214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281" w:rsidRDefault="00065281" w:rsidP="00FF41A6">
      <w:r>
        <w:separator/>
      </w:r>
    </w:p>
  </w:footnote>
  <w:footnote w:type="continuationSeparator" w:id="0">
    <w:p w:rsidR="00065281" w:rsidRDefault="0006528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145" w:rsidRDefault="00BA214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A2145" w:rsidRPr="00426781" w:rsidRDefault="00BA2145" w:rsidP="00FF41A6">
    <w:pPr>
      <w:pStyle w:val="NoSpacing"/>
      <w:jc w:val="center"/>
      <w:rPr>
        <w:rFonts w:ascii="Tw Cen MT" w:hAnsi="Tw Cen MT"/>
      </w:rPr>
    </w:pPr>
  </w:p>
  <w:p w:rsidR="00BA2145" w:rsidRDefault="00BA2145" w:rsidP="00FF41A6">
    <w:pPr>
      <w:pStyle w:val="NoSpacing"/>
      <w:jc w:val="center"/>
      <w:rPr>
        <w:rFonts w:ascii="Tw Cen MT" w:hAnsi="Tw Cen MT"/>
      </w:rPr>
    </w:pPr>
  </w:p>
  <w:p w:rsidR="00BA2145" w:rsidRPr="00D104DB" w:rsidRDefault="00BA2145" w:rsidP="00FF41A6">
    <w:pPr>
      <w:pStyle w:val="NoSpacing"/>
      <w:jc w:val="center"/>
      <w:rPr>
        <w:sz w:val="16"/>
        <w:szCs w:val="16"/>
      </w:rPr>
    </w:pPr>
  </w:p>
  <w:p w:rsidR="00BA2145" w:rsidRDefault="00BA214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346BE"/>
    <w:multiLevelType w:val="hybridMultilevel"/>
    <w:tmpl w:val="736A0B6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11A5"/>
    <w:rsid w:val="00032FB9"/>
    <w:rsid w:val="000556B9"/>
    <w:rsid w:val="00065281"/>
    <w:rsid w:val="0009073E"/>
    <w:rsid w:val="00094E5E"/>
    <w:rsid w:val="000A78EE"/>
    <w:rsid w:val="000B7A8F"/>
    <w:rsid w:val="00136EEF"/>
    <w:rsid w:val="00266C96"/>
    <w:rsid w:val="002B58CC"/>
    <w:rsid w:val="0031624D"/>
    <w:rsid w:val="00320AF6"/>
    <w:rsid w:val="00397A26"/>
    <w:rsid w:val="003C2878"/>
    <w:rsid w:val="004038CE"/>
    <w:rsid w:val="00413297"/>
    <w:rsid w:val="004520E3"/>
    <w:rsid w:val="00483B47"/>
    <w:rsid w:val="00487E9D"/>
    <w:rsid w:val="004E1488"/>
    <w:rsid w:val="005018C7"/>
    <w:rsid w:val="0054691C"/>
    <w:rsid w:val="0055089C"/>
    <w:rsid w:val="00611215"/>
    <w:rsid w:val="006456EB"/>
    <w:rsid w:val="00652A6F"/>
    <w:rsid w:val="006925A3"/>
    <w:rsid w:val="006A5983"/>
    <w:rsid w:val="006E396B"/>
    <w:rsid w:val="0070486C"/>
    <w:rsid w:val="007571A5"/>
    <w:rsid w:val="00764B40"/>
    <w:rsid w:val="007A7AC2"/>
    <w:rsid w:val="007B7F87"/>
    <w:rsid w:val="007F2AFE"/>
    <w:rsid w:val="008B1520"/>
    <w:rsid w:val="00915587"/>
    <w:rsid w:val="00960640"/>
    <w:rsid w:val="0096769E"/>
    <w:rsid w:val="00A11F2B"/>
    <w:rsid w:val="00A627F7"/>
    <w:rsid w:val="00A76F00"/>
    <w:rsid w:val="00AB3DCA"/>
    <w:rsid w:val="00AF6EEF"/>
    <w:rsid w:val="00B00A4D"/>
    <w:rsid w:val="00B00E2E"/>
    <w:rsid w:val="00B511D7"/>
    <w:rsid w:val="00B625CF"/>
    <w:rsid w:val="00B75A57"/>
    <w:rsid w:val="00BA2145"/>
    <w:rsid w:val="00BB7310"/>
    <w:rsid w:val="00BC18CE"/>
    <w:rsid w:val="00BE1C55"/>
    <w:rsid w:val="00BE2EB6"/>
    <w:rsid w:val="00C7676D"/>
    <w:rsid w:val="00CC78E0"/>
    <w:rsid w:val="00CD057F"/>
    <w:rsid w:val="00D12E6A"/>
    <w:rsid w:val="00D159C3"/>
    <w:rsid w:val="00D729BE"/>
    <w:rsid w:val="00D73B69"/>
    <w:rsid w:val="00DC7E65"/>
    <w:rsid w:val="00DE3E17"/>
    <w:rsid w:val="00DF7C0D"/>
    <w:rsid w:val="00E25639"/>
    <w:rsid w:val="00E31EF8"/>
    <w:rsid w:val="00EB2A23"/>
    <w:rsid w:val="00EC793A"/>
    <w:rsid w:val="00EE4ACF"/>
    <w:rsid w:val="00F45755"/>
    <w:rsid w:val="00F515B5"/>
    <w:rsid w:val="00F6685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85E077-CB76-4012-8737-C2F62223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