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B80E28" w:rsidRDefault="00B80E28" w:rsidP="00A90B0A">
      <w:pPr>
        <w:rPr>
          <w:bCs/>
          <w:color w:val="000000"/>
          <w:sz w:val="24"/>
        </w:rPr>
      </w:pPr>
    </w:p>
    <w:p w:rsidR="00B80E28" w:rsidRDefault="00B80E28" w:rsidP="00A90B0A">
      <w:pPr>
        <w:rPr>
          <w:bCs/>
          <w:color w:val="000000"/>
          <w:sz w:val="24"/>
        </w:rPr>
      </w:pPr>
    </w:p>
    <w:p w:rsidR="00EB2A23" w:rsidRDefault="00AA652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6155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pat-308 34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93220" w:rsidRDefault="00AA652E" w:rsidP="009932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93220">
        <w:rPr>
          <w:b/>
          <w:i/>
          <w:iCs/>
          <w:color w:val="000000"/>
          <w:sz w:val="24"/>
        </w:rPr>
        <w:t>MAMMOGRAPHIE</w:t>
      </w:r>
      <w:r w:rsidR="00993220" w:rsidRPr="0099322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93220" w:rsidRDefault="00EB2A23">
      <w:pPr>
        <w:rPr>
          <w:b/>
          <w:color w:val="000000"/>
          <w:sz w:val="24"/>
          <w:szCs w:val="24"/>
        </w:rPr>
      </w:pPr>
      <w:r w:rsidRPr="00993220">
        <w:rPr>
          <w:b/>
          <w:iCs/>
          <w:color w:val="000000"/>
          <w:sz w:val="24"/>
          <w:szCs w:val="24"/>
          <w:u w:val="single"/>
        </w:rPr>
        <w:t>RESULTATS</w:t>
      </w:r>
      <w:r w:rsidRPr="00993220">
        <w:rPr>
          <w:b/>
          <w:i/>
          <w:color w:val="000000"/>
          <w:sz w:val="24"/>
          <w:szCs w:val="24"/>
        </w:rPr>
        <w:t>:</w:t>
      </w:r>
      <w:r w:rsidRPr="00993220">
        <w:rPr>
          <w:b/>
          <w:color w:val="000000"/>
          <w:sz w:val="24"/>
          <w:szCs w:val="24"/>
        </w:rPr>
        <w:t xml:space="preserve"> </w:t>
      </w:r>
    </w:p>
    <w:p w:rsidR="00EE4ACF" w:rsidRPr="00993220" w:rsidRDefault="00EE4ACF">
      <w:pPr>
        <w:rPr>
          <w:b/>
          <w:color w:val="000000"/>
          <w:sz w:val="24"/>
          <w:szCs w:val="24"/>
        </w:rPr>
      </w:pPr>
    </w:p>
    <w:p w:rsidR="00A90B0A" w:rsidRPr="00993220" w:rsidRDefault="00B00E2E" w:rsidP="00993220">
      <w:pPr>
        <w:ind w:firstLine="708"/>
        <w:rPr>
          <w:b/>
          <w:color w:val="000000"/>
          <w:sz w:val="24"/>
          <w:szCs w:val="24"/>
          <w:u w:val="single"/>
        </w:rPr>
      </w:pPr>
      <w:r w:rsidRPr="00993220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993220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993220" w:rsidRPr="00993220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993220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993220" w:rsidRDefault="00A90B0A" w:rsidP="00650226">
      <w:pPr>
        <w:rPr>
          <w:bCs/>
          <w:color w:val="000000"/>
          <w:sz w:val="24"/>
          <w:szCs w:val="24"/>
        </w:rPr>
      </w:pPr>
      <w:r w:rsidRPr="00993220">
        <w:rPr>
          <w:bCs/>
          <w:color w:val="000000"/>
          <w:sz w:val="24"/>
          <w:szCs w:val="24"/>
        </w:rPr>
        <w:t xml:space="preserve">Seins à trame </w:t>
      </w:r>
      <w:r w:rsidR="00085291">
        <w:rPr>
          <w:bCs/>
          <w:color w:val="000000"/>
          <w:sz w:val="24"/>
          <w:szCs w:val="24"/>
        </w:rPr>
        <w:t xml:space="preserve">conjonctivo-glandulaire </w:t>
      </w:r>
      <w:r w:rsidRPr="00993220">
        <w:rPr>
          <w:bCs/>
          <w:color w:val="000000"/>
          <w:sz w:val="24"/>
          <w:szCs w:val="24"/>
        </w:rPr>
        <w:t xml:space="preserve">hétérogène type </w:t>
      </w:r>
      <w:r w:rsidR="00650226">
        <w:rPr>
          <w:bCs/>
          <w:color w:val="000000"/>
          <w:sz w:val="24"/>
          <w:szCs w:val="24"/>
        </w:rPr>
        <w:t>c</w:t>
      </w:r>
      <w:r w:rsidRPr="00993220">
        <w:rPr>
          <w:bCs/>
          <w:color w:val="000000"/>
          <w:sz w:val="24"/>
          <w:szCs w:val="24"/>
        </w:rPr>
        <w:t xml:space="preserve"> de l’ACR.</w:t>
      </w:r>
    </w:p>
    <w:p w:rsidR="00A90B0A" w:rsidRPr="00993220" w:rsidRDefault="00650226" w:rsidP="009D671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de quelques micro-calcifications </w:t>
      </w:r>
      <w:r w:rsidR="009D6717">
        <w:rPr>
          <w:bCs/>
          <w:color w:val="000000"/>
          <w:sz w:val="24"/>
          <w:szCs w:val="24"/>
        </w:rPr>
        <w:t xml:space="preserve">en amas </w:t>
      </w:r>
      <w:r w:rsidR="00773997">
        <w:rPr>
          <w:bCs/>
          <w:color w:val="000000"/>
          <w:sz w:val="24"/>
          <w:szCs w:val="24"/>
        </w:rPr>
        <w:t xml:space="preserve">fines </w:t>
      </w:r>
      <w:r w:rsidR="00D156D5">
        <w:rPr>
          <w:bCs/>
          <w:color w:val="000000"/>
          <w:sz w:val="24"/>
          <w:szCs w:val="24"/>
        </w:rPr>
        <w:t>régulières</w:t>
      </w:r>
      <w:r w:rsidR="005E1BB8">
        <w:rPr>
          <w:bCs/>
          <w:color w:val="000000"/>
          <w:sz w:val="24"/>
          <w:szCs w:val="24"/>
        </w:rPr>
        <w:t>,</w:t>
      </w:r>
      <w:r w:rsidR="009D6717">
        <w:rPr>
          <w:bCs/>
          <w:color w:val="000000"/>
          <w:sz w:val="24"/>
          <w:szCs w:val="24"/>
        </w:rPr>
        <w:t xml:space="preserve"> siégeant au niveau du QMS droit, sans masse ni distorsion architecturale associée.</w:t>
      </w:r>
    </w:p>
    <w:p w:rsidR="00A90B0A" w:rsidRPr="00993220" w:rsidRDefault="00A90B0A" w:rsidP="00993220">
      <w:pPr>
        <w:rPr>
          <w:bCs/>
          <w:color w:val="000000"/>
          <w:sz w:val="24"/>
          <w:szCs w:val="24"/>
        </w:rPr>
      </w:pPr>
      <w:r w:rsidRPr="00993220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993220" w:rsidRDefault="00A90B0A" w:rsidP="00A90B0A">
      <w:pPr>
        <w:rPr>
          <w:bCs/>
          <w:color w:val="000000"/>
          <w:sz w:val="24"/>
          <w:szCs w:val="24"/>
        </w:rPr>
      </w:pPr>
    </w:p>
    <w:p w:rsidR="00A90B0A" w:rsidRPr="00993220" w:rsidRDefault="00A90B0A" w:rsidP="00993220">
      <w:pPr>
        <w:ind w:firstLine="708"/>
        <w:rPr>
          <w:bCs/>
          <w:color w:val="000000"/>
          <w:sz w:val="24"/>
          <w:szCs w:val="24"/>
          <w:u w:val="single"/>
        </w:rPr>
      </w:pPr>
      <w:r w:rsidRPr="0099322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93220" w:rsidRPr="00993220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993220" w:rsidRDefault="00A90B0A" w:rsidP="00A90B0A">
      <w:pPr>
        <w:rPr>
          <w:bCs/>
          <w:color w:val="000000"/>
          <w:sz w:val="24"/>
          <w:szCs w:val="24"/>
        </w:rPr>
      </w:pPr>
      <w:r w:rsidRPr="00993220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993220" w:rsidRDefault="00A90B0A" w:rsidP="00A90B0A">
      <w:pPr>
        <w:rPr>
          <w:bCs/>
          <w:color w:val="000000"/>
          <w:sz w:val="24"/>
          <w:szCs w:val="24"/>
        </w:rPr>
      </w:pPr>
      <w:r w:rsidRPr="00993220">
        <w:rPr>
          <w:bCs/>
          <w:color w:val="000000"/>
          <w:sz w:val="24"/>
          <w:szCs w:val="24"/>
        </w:rPr>
        <w:t>Absence d’ombre acoustique pathologique.</w:t>
      </w:r>
    </w:p>
    <w:p w:rsidR="00A90B0A" w:rsidRPr="00993220" w:rsidRDefault="00A7567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et segmentaire bilatérale chez une patiente allaitante.</w:t>
      </w:r>
    </w:p>
    <w:p w:rsidR="00A90B0A" w:rsidRPr="00993220" w:rsidRDefault="00A90B0A" w:rsidP="00A90B0A">
      <w:pPr>
        <w:rPr>
          <w:bCs/>
          <w:color w:val="000000"/>
          <w:sz w:val="24"/>
          <w:szCs w:val="24"/>
        </w:rPr>
      </w:pPr>
      <w:r w:rsidRPr="00993220">
        <w:rPr>
          <w:bCs/>
          <w:color w:val="000000"/>
          <w:sz w:val="24"/>
          <w:szCs w:val="24"/>
        </w:rPr>
        <w:t>Absence d’adénopathies axillaires.</w:t>
      </w:r>
    </w:p>
    <w:p w:rsidR="00A90B0A" w:rsidRPr="00993220" w:rsidRDefault="00A90B0A" w:rsidP="00A90B0A">
      <w:pPr>
        <w:rPr>
          <w:bCs/>
          <w:color w:val="000000"/>
          <w:sz w:val="24"/>
          <w:szCs w:val="24"/>
        </w:rPr>
      </w:pPr>
    </w:p>
    <w:p w:rsidR="00A90B0A" w:rsidRPr="00993220" w:rsidRDefault="00993220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99322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93220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B80E28" w:rsidP="00B80E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993220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91E99">
        <w:rPr>
          <w:b/>
          <w:bCs/>
          <w:i/>
          <w:color w:val="000000"/>
          <w:sz w:val="24"/>
          <w:szCs w:val="24"/>
        </w:rPr>
        <w:t>en faveur d’un foyer de micro-calcifications mammaire droit classé BI-RADS 3 de l'ACR.</w:t>
      </w:r>
    </w:p>
    <w:p w:rsidR="00691E99" w:rsidRPr="00993220" w:rsidRDefault="00B80E28" w:rsidP="00691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691E99">
        <w:rPr>
          <w:b/>
          <w:bCs/>
          <w:i/>
          <w:color w:val="000000"/>
          <w:sz w:val="24"/>
          <w:szCs w:val="24"/>
        </w:rPr>
        <w:t>Ectasie canalaire bilatérale chez une patiente allaitante.</w:t>
      </w:r>
    </w:p>
    <w:p w:rsidR="00A90B0A" w:rsidRDefault="00B80E28" w:rsidP="00691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691E99">
        <w:rPr>
          <w:b/>
          <w:bCs/>
          <w:i/>
          <w:color w:val="000000"/>
          <w:sz w:val="24"/>
          <w:szCs w:val="24"/>
        </w:rPr>
        <w:t>Sein gauche</w:t>
      </w:r>
      <w:r w:rsidR="00A90B0A" w:rsidRPr="00993220">
        <w:rPr>
          <w:b/>
          <w:bCs/>
          <w:i/>
          <w:color w:val="000000"/>
          <w:sz w:val="24"/>
          <w:szCs w:val="24"/>
        </w:rPr>
        <w:t xml:space="preserve"> classé BI-RADS </w:t>
      </w:r>
      <w:r w:rsidR="00691E99">
        <w:rPr>
          <w:b/>
          <w:bCs/>
          <w:i/>
          <w:color w:val="000000"/>
          <w:sz w:val="24"/>
          <w:szCs w:val="24"/>
        </w:rPr>
        <w:t>2</w:t>
      </w:r>
      <w:r w:rsidR="00A90B0A" w:rsidRPr="00993220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1216E1" w:rsidRPr="00993220" w:rsidRDefault="00B80E28" w:rsidP="00691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216E1">
        <w:rPr>
          <w:b/>
          <w:bCs/>
          <w:i/>
          <w:color w:val="000000"/>
          <w:sz w:val="24"/>
          <w:szCs w:val="24"/>
        </w:rPr>
        <w:t>A recontrôler dans 06 mois par un profil strict et agrandissement.</w:t>
      </w:r>
    </w:p>
    <w:p w:rsidR="00EB2A23" w:rsidRPr="00993220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993220" w:rsidRDefault="00993220">
      <w:pPr>
        <w:tabs>
          <w:tab w:val="left" w:pos="3686"/>
        </w:tabs>
        <w:rPr>
          <w:sz w:val="24"/>
          <w:szCs w:val="24"/>
        </w:rPr>
      </w:pPr>
    </w:p>
    <w:p w:rsidR="00993220" w:rsidRPr="00993220" w:rsidRDefault="00993220">
      <w:pPr>
        <w:tabs>
          <w:tab w:val="left" w:pos="3686"/>
        </w:tabs>
        <w:rPr>
          <w:sz w:val="24"/>
          <w:szCs w:val="24"/>
        </w:rPr>
      </w:pPr>
    </w:p>
    <w:p w:rsidR="00EB2A23" w:rsidRPr="00993220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993220" w:rsidRDefault="00EB2A23">
      <w:pPr>
        <w:rPr>
          <w:b/>
          <w:color w:val="000000"/>
          <w:sz w:val="24"/>
          <w:szCs w:val="24"/>
        </w:rPr>
      </w:pPr>
    </w:p>
    <w:p w:rsidR="00EB2A23" w:rsidRPr="00993220" w:rsidRDefault="00EB2A23">
      <w:pPr>
        <w:rPr>
          <w:sz w:val="24"/>
          <w:szCs w:val="24"/>
        </w:rPr>
      </w:pPr>
    </w:p>
    <w:p w:rsidR="00EB2A23" w:rsidRPr="00993220" w:rsidRDefault="00EB2A23">
      <w:pPr>
        <w:rPr>
          <w:sz w:val="24"/>
          <w:szCs w:val="24"/>
        </w:rPr>
      </w:pPr>
    </w:p>
    <w:p w:rsidR="00320AF6" w:rsidRPr="00993220" w:rsidRDefault="00320AF6">
      <w:pPr>
        <w:rPr>
          <w:sz w:val="24"/>
          <w:szCs w:val="24"/>
        </w:rPr>
      </w:pPr>
    </w:p>
    <w:sectPr w:rsidR="00320AF6" w:rsidRPr="00993220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4D1" w:rsidRDefault="007F74D1" w:rsidP="00FF41A6">
      <w:r>
        <w:separator/>
      </w:r>
    </w:p>
  </w:endnote>
  <w:endnote w:type="continuationSeparator" w:id="0">
    <w:p w:rsidR="007F74D1" w:rsidRDefault="007F74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4D1" w:rsidRDefault="007F74D1" w:rsidP="00FF41A6">
      <w:r>
        <w:separator/>
      </w:r>
    </w:p>
  </w:footnote>
  <w:footnote w:type="continuationSeparator" w:id="0">
    <w:p w:rsidR="007F74D1" w:rsidRDefault="007F74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85291"/>
    <w:rsid w:val="00094E5E"/>
    <w:rsid w:val="000A78EE"/>
    <w:rsid w:val="000B7A8F"/>
    <w:rsid w:val="001216E1"/>
    <w:rsid w:val="00135C2D"/>
    <w:rsid w:val="00136EEF"/>
    <w:rsid w:val="00161557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E1BB8"/>
    <w:rsid w:val="005F4538"/>
    <w:rsid w:val="00650226"/>
    <w:rsid w:val="00691E99"/>
    <w:rsid w:val="006925A3"/>
    <w:rsid w:val="006A5983"/>
    <w:rsid w:val="006E396B"/>
    <w:rsid w:val="007571A5"/>
    <w:rsid w:val="00773997"/>
    <w:rsid w:val="007F2AFE"/>
    <w:rsid w:val="007F74D1"/>
    <w:rsid w:val="008B1520"/>
    <w:rsid w:val="008D49F9"/>
    <w:rsid w:val="00915587"/>
    <w:rsid w:val="00991837"/>
    <w:rsid w:val="00993220"/>
    <w:rsid w:val="009C01EC"/>
    <w:rsid w:val="009D6717"/>
    <w:rsid w:val="00A11F2B"/>
    <w:rsid w:val="00A75676"/>
    <w:rsid w:val="00A76F00"/>
    <w:rsid w:val="00A90B0A"/>
    <w:rsid w:val="00AA652E"/>
    <w:rsid w:val="00AB3DCA"/>
    <w:rsid w:val="00AF6EEF"/>
    <w:rsid w:val="00B00E2E"/>
    <w:rsid w:val="00B511D7"/>
    <w:rsid w:val="00B625CF"/>
    <w:rsid w:val="00B75A57"/>
    <w:rsid w:val="00B80E28"/>
    <w:rsid w:val="00B90949"/>
    <w:rsid w:val="00BB7310"/>
    <w:rsid w:val="00BC18CE"/>
    <w:rsid w:val="00BE1C55"/>
    <w:rsid w:val="00C7676D"/>
    <w:rsid w:val="00CD057F"/>
    <w:rsid w:val="00CE2491"/>
    <w:rsid w:val="00D156D5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F847BE-720A-4749-876A-D5C6E7E3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41A6B-8764-44EB-8CF4-EC4FC915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