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E6AB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747A77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pat-329 58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B4893" w:rsidRDefault="002E6ABF" w:rsidP="00BB489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B4893">
        <w:rPr>
          <w:b/>
          <w:i/>
          <w:iCs/>
          <w:color w:val="000000"/>
          <w:sz w:val="24"/>
        </w:rPr>
        <w:t>MAMMOGRAPHIE</w:t>
      </w:r>
      <w:r w:rsidR="00BB4893" w:rsidRPr="00BB489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B4893" w:rsidRDefault="00EB2A23">
      <w:pPr>
        <w:rPr>
          <w:b/>
          <w:color w:val="000000"/>
          <w:sz w:val="24"/>
          <w:szCs w:val="24"/>
        </w:rPr>
      </w:pPr>
      <w:r w:rsidRPr="00BB4893">
        <w:rPr>
          <w:b/>
          <w:iCs/>
          <w:color w:val="000000"/>
          <w:sz w:val="24"/>
          <w:szCs w:val="24"/>
          <w:u w:val="single"/>
        </w:rPr>
        <w:t>RESULTATS</w:t>
      </w:r>
      <w:r w:rsidRPr="00BB4893">
        <w:rPr>
          <w:b/>
          <w:i/>
          <w:color w:val="000000"/>
          <w:sz w:val="24"/>
          <w:szCs w:val="24"/>
        </w:rPr>
        <w:t>:</w:t>
      </w:r>
      <w:r w:rsidRPr="00BB4893">
        <w:rPr>
          <w:b/>
          <w:color w:val="000000"/>
          <w:sz w:val="24"/>
          <w:szCs w:val="24"/>
        </w:rPr>
        <w:t xml:space="preserve"> </w:t>
      </w:r>
    </w:p>
    <w:p w:rsidR="00EE4ACF" w:rsidRPr="00BB4893" w:rsidRDefault="00EE4ACF">
      <w:pPr>
        <w:rPr>
          <w:b/>
          <w:color w:val="000000"/>
          <w:sz w:val="24"/>
          <w:szCs w:val="24"/>
        </w:rPr>
      </w:pPr>
    </w:p>
    <w:p w:rsidR="00A90B0A" w:rsidRPr="00BB4893" w:rsidRDefault="00B00E2E" w:rsidP="00BB4893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BB4893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BB4893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BB4893" w:rsidRPr="00BB489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BB4893" w:rsidRDefault="00A90B0A" w:rsidP="00A90B0A">
      <w:pPr>
        <w:rPr>
          <w:bCs/>
          <w:color w:val="000000"/>
          <w:sz w:val="24"/>
          <w:szCs w:val="24"/>
        </w:rPr>
      </w:pPr>
      <w:r w:rsidRPr="00BB4893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BB4893" w:rsidRDefault="00AB0164" w:rsidP="000F24A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de haute densité, de forme et de contours spiculés, hétérogène par la présence de micro-calcifications polymorphes en son sein, intéressant le QME droit, responsable d’une rétraction du revêtement cutané et de la plaque aréolo-mamelonnaire.</w:t>
      </w:r>
    </w:p>
    <w:p w:rsidR="00AB0164" w:rsidRDefault="00AB0164" w:rsidP="00AB016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de forme ovalaire, aux contours circonscrits, de tonalité intermédiaire, homogène du QII gauche.</w:t>
      </w:r>
    </w:p>
    <w:p w:rsidR="000F24A3" w:rsidRDefault="000F24A3" w:rsidP="000F24A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Foyer de micro-calcifications du QME gauche, fines et régulières et dont certaines sont amorphes. </w:t>
      </w:r>
    </w:p>
    <w:p w:rsidR="00A90B0A" w:rsidRPr="00BB4893" w:rsidRDefault="00A90B0A" w:rsidP="00BB4893">
      <w:pPr>
        <w:rPr>
          <w:bCs/>
          <w:color w:val="000000"/>
          <w:sz w:val="24"/>
          <w:szCs w:val="24"/>
        </w:rPr>
      </w:pPr>
      <w:r w:rsidRPr="00BB4893">
        <w:rPr>
          <w:bCs/>
          <w:color w:val="000000"/>
          <w:sz w:val="24"/>
          <w:szCs w:val="24"/>
        </w:rPr>
        <w:t>Liseré cutané fin et régulier</w:t>
      </w:r>
      <w:r w:rsidR="00AB0164">
        <w:rPr>
          <w:bCs/>
          <w:color w:val="000000"/>
          <w:sz w:val="24"/>
          <w:szCs w:val="24"/>
        </w:rPr>
        <w:t xml:space="preserve"> à gauche</w:t>
      </w:r>
      <w:r w:rsidRPr="00BB4893">
        <w:rPr>
          <w:bCs/>
          <w:color w:val="000000"/>
          <w:sz w:val="24"/>
          <w:szCs w:val="24"/>
        </w:rPr>
        <w:t xml:space="preserve">. </w:t>
      </w:r>
    </w:p>
    <w:p w:rsidR="00A90B0A" w:rsidRPr="00BB4893" w:rsidRDefault="00A90B0A" w:rsidP="00A90B0A">
      <w:pPr>
        <w:rPr>
          <w:bCs/>
          <w:color w:val="000000"/>
          <w:sz w:val="24"/>
          <w:szCs w:val="24"/>
          <w:u w:val="single"/>
        </w:rPr>
      </w:pPr>
    </w:p>
    <w:p w:rsidR="00A90B0A" w:rsidRPr="00BB4893" w:rsidRDefault="00A90B0A" w:rsidP="00BB4893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BB489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BB4893" w:rsidRPr="00BB489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BB4893" w:rsidRDefault="00846558" w:rsidP="00DB31A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en rétro-aréolaire droit étendu au QME d’une masse de forme et de contours spiculés</w:t>
      </w:r>
      <w:r w:rsidR="007E48FA">
        <w:rPr>
          <w:bCs/>
          <w:color w:val="000000"/>
          <w:sz w:val="24"/>
          <w:szCs w:val="24"/>
        </w:rPr>
        <w:t xml:space="preserve">, hypoéchogène hétérogène, atténuante, étendue au revêtement cutané et à la plaque aréolo-mamelonnaire, mesurant </w:t>
      </w:r>
      <w:r w:rsidR="00DB31A0">
        <w:rPr>
          <w:bCs/>
          <w:color w:val="000000"/>
          <w:sz w:val="24"/>
          <w:szCs w:val="24"/>
        </w:rPr>
        <w:t>55x35 mm.</w:t>
      </w:r>
    </w:p>
    <w:p w:rsidR="00A90B0A" w:rsidRDefault="007E48FA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deux masses de forme ovalaire, aux contours circonscrits, hypoéchogène homogène, siégeant et mesurant comme suit :</w:t>
      </w:r>
    </w:p>
    <w:p w:rsidR="007E48FA" w:rsidRPr="003A5E15" w:rsidRDefault="007E48FA" w:rsidP="003A5E15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3A5E15">
        <w:rPr>
          <w:bCs/>
          <w:i/>
          <w:iCs/>
          <w:color w:val="000000"/>
          <w:sz w:val="24"/>
          <w:szCs w:val="24"/>
        </w:rPr>
        <w:t xml:space="preserve">QSE gauche de </w:t>
      </w:r>
      <w:r w:rsidR="00661BF2">
        <w:rPr>
          <w:bCs/>
          <w:i/>
          <w:iCs/>
          <w:color w:val="000000"/>
          <w:sz w:val="24"/>
          <w:szCs w:val="24"/>
        </w:rPr>
        <w:t>9 mm.</w:t>
      </w:r>
    </w:p>
    <w:p w:rsidR="007E48FA" w:rsidRPr="000F24A3" w:rsidRDefault="007E48FA" w:rsidP="00A90B0A">
      <w:pPr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0F24A3">
        <w:rPr>
          <w:bCs/>
          <w:i/>
          <w:iCs/>
          <w:color w:val="000000"/>
          <w:sz w:val="24"/>
          <w:szCs w:val="24"/>
        </w:rPr>
        <w:t xml:space="preserve">QMI gauche de </w:t>
      </w:r>
      <w:r w:rsidR="00661BF2">
        <w:rPr>
          <w:bCs/>
          <w:i/>
          <w:iCs/>
          <w:color w:val="000000"/>
          <w:sz w:val="24"/>
          <w:szCs w:val="24"/>
        </w:rPr>
        <w:t>13 mm.</w:t>
      </w:r>
    </w:p>
    <w:p w:rsidR="00A90B0A" w:rsidRPr="00BB4893" w:rsidRDefault="00A90B0A" w:rsidP="007E48FA">
      <w:pPr>
        <w:rPr>
          <w:bCs/>
          <w:color w:val="000000"/>
          <w:sz w:val="24"/>
          <w:szCs w:val="24"/>
        </w:rPr>
      </w:pPr>
      <w:r w:rsidRPr="00BB4893">
        <w:rPr>
          <w:bCs/>
          <w:color w:val="000000"/>
          <w:sz w:val="24"/>
          <w:szCs w:val="24"/>
        </w:rPr>
        <w:t>Système canalaire non dilaté.</w:t>
      </w:r>
    </w:p>
    <w:p w:rsidR="00A90B0A" w:rsidRPr="00BB4893" w:rsidRDefault="007E48FA" w:rsidP="00661BF2">
      <w:pPr>
        <w:rPr>
          <w:bCs/>
          <w:color w:val="000000"/>
          <w:sz w:val="24"/>
          <w:szCs w:val="24"/>
        </w:rPr>
      </w:pPr>
      <w:r w:rsidRPr="00BB4893">
        <w:rPr>
          <w:bCs/>
          <w:color w:val="000000"/>
          <w:sz w:val="24"/>
          <w:szCs w:val="24"/>
        </w:rPr>
        <w:t>A</w:t>
      </w:r>
      <w:r w:rsidR="00A90B0A" w:rsidRPr="00BB4893">
        <w:rPr>
          <w:bCs/>
          <w:color w:val="000000"/>
          <w:sz w:val="24"/>
          <w:szCs w:val="24"/>
        </w:rPr>
        <w:t>dénopathies</w:t>
      </w:r>
      <w:r>
        <w:rPr>
          <w:bCs/>
          <w:color w:val="000000"/>
          <w:sz w:val="24"/>
          <w:szCs w:val="24"/>
        </w:rPr>
        <w:t xml:space="preserve"> </w:t>
      </w:r>
      <w:r w:rsidR="00A90B0A" w:rsidRPr="00BB4893">
        <w:rPr>
          <w:bCs/>
          <w:color w:val="000000"/>
          <w:sz w:val="24"/>
          <w:szCs w:val="24"/>
        </w:rPr>
        <w:t>axillaires</w:t>
      </w:r>
      <w:r>
        <w:rPr>
          <w:bCs/>
          <w:color w:val="000000"/>
          <w:sz w:val="24"/>
          <w:szCs w:val="24"/>
        </w:rPr>
        <w:t xml:space="preserve"> droites suspectes, rondes, à centre graisseux excentré et à cortex développé, mesurant pour la plus volumineuse </w:t>
      </w:r>
      <w:r w:rsidR="00661BF2">
        <w:rPr>
          <w:bCs/>
          <w:color w:val="000000"/>
          <w:sz w:val="24"/>
          <w:szCs w:val="24"/>
        </w:rPr>
        <w:t>11x8 mm.</w:t>
      </w:r>
    </w:p>
    <w:p w:rsidR="00A90B0A" w:rsidRPr="00BB4893" w:rsidRDefault="00A90B0A" w:rsidP="00A90B0A">
      <w:pPr>
        <w:rPr>
          <w:bCs/>
          <w:color w:val="000000"/>
          <w:sz w:val="24"/>
          <w:szCs w:val="24"/>
        </w:rPr>
      </w:pPr>
    </w:p>
    <w:p w:rsidR="00A90B0A" w:rsidRPr="00BB4893" w:rsidRDefault="00BB4893" w:rsidP="00F070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BB489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BB4893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F0707D" w:rsidP="00F070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BB489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262C0B">
        <w:rPr>
          <w:b/>
          <w:bCs/>
          <w:i/>
          <w:color w:val="000000"/>
          <w:sz w:val="24"/>
          <w:szCs w:val="24"/>
        </w:rPr>
        <w:t>en faveur d’une masse mammaire droite nécessitant une vérification histologique par micro-biopsie, associée à des adénopathies axillaires homolatérales suspectes nécessitant une cytoponction.</w:t>
      </w:r>
    </w:p>
    <w:p w:rsidR="000F24A3" w:rsidRDefault="00F0707D" w:rsidP="00F070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F24A3">
        <w:rPr>
          <w:b/>
          <w:bCs/>
          <w:i/>
          <w:color w:val="000000"/>
          <w:sz w:val="24"/>
          <w:szCs w:val="24"/>
        </w:rPr>
        <w:t>Foyer de micro-calcifications mammaires gauches.</w:t>
      </w:r>
    </w:p>
    <w:p w:rsidR="000F24A3" w:rsidRDefault="00F0707D" w:rsidP="00F070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262C0B">
        <w:rPr>
          <w:b/>
          <w:bCs/>
          <w:i/>
          <w:color w:val="000000"/>
          <w:sz w:val="24"/>
          <w:szCs w:val="24"/>
        </w:rPr>
        <w:t>Masses mammaires gauches</w:t>
      </w:r>
      <w:r w:rsidR="000F24A3">
        <w:rPr>
          <w:b/>
          <w:bCs/>
          <w:i/>
          <w:color w:val="000000"/>
          <w:sz w:val="24"/>
          <w:szCs w:val="24"/>
        </w:rPr>
        <w:t>.</w:t>
      </w:r>
    </w:p>
    <w:p w:rsidR="00262C0B" w:rsidRPr="00BB4893" w:rsidRDefault="00F0707D" w:rsidP="00F070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F24A3">
        <w:rPr>
          <w:b/>
          <w:bCs/>
          <w:i/>
          <w:color w:val="000000"/>
          <w:sz w:val="24"/>
          <w:szCs w:val="24"/>
        </w:rPr>
        <w:t>Sein gauche</w:t>
      </w:r>
      <w:r w:rsidR="00262C0B">
        <w:rPr>
          <w:b/>
          <w:bCs/>
          <w:i/>
          <w:color w:val="000000"/>
          <w:sz w:val="24"/>
          <w:szCs w:val="24"/>
        </w:rPr>
        <w:t xml:space="preserve"> classé BI-RADS </w:t>
      </w:r>
      <w:r w:rsidR="000F24A3">
        <w:rPr>
          <w:b/>
          <w:bCs/>
          <w:i/>
          <w:color w:val="000000"/>
          <w:sz w:val="24"/>
          <w:szCs w:val="24"/>
        </w:rPr>
        <w:t>4a</w:t>
      </w:r>
      <w:r w:rsidR="00262C0B">
        <w:rPr>
          <w:b/>
          <w:bCs/>
          <w:i/>
          <w:color w:val="000000"/>
          <w:sz w:val="24"/>
          <w:szCs w:val="24"/>
        </w:rPr>
        <w:t xml:space="preserve"> de l'ACR</w:t>
      </w:r>
      <w:r w:rsidR="000F24A3">
        <w:rPr>
          <w:b/>
          <w:bCs/>
          <w:i/>
          <w:color w:val="000000"/>
          <w:sz w:val="24"/>
          <w:szCs w:val="24"/>
        </w:rPr>
        <w:t>, vu le contexte une macro-biopsie sous stéréotaxie est souhaitable</w:t>
      </w:r>
      <w:r w:rsidR="00262C0B">
        <w:rPr>
          <w:b/>
          <w:bCs/>
          <w:i/>
          <w:color w:val="000000"/>
          <w:sz w:val="24"/>
          <w:szCs w:val="24"/>
        </w:rPr>
        <w:t xml:space="preserve">. </w:t>
      </w:r>
    </w:p>
    <w:p w:rsidR="00A90B0A" w:rsidRPr="00BB4893" w:rsidRDefault="00F0707D" w:rsidP="00F0707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262C0B">
        <w:rPr>
          <w:b/>
          <w:bCs/>
          <w:i/>
          <w:color w:val="000000"/>
          <w:sz w:val="24"/>
          <w:szCs w:val="24"/>
        </w:rPr>
        <w:t>Sein droit</w:t>
      </w:r>
      <w:r w:rsidR="00A90B0A" w:rsidRPr="00BB4893">
        <w:rPr>
          <w:b/>
          <w:bCs/>
          <w:i/>
          <w:color w:val="000000"/>
          <w:sz w:val="24"/>
          <w:szCs w:val="24"/>
        </w:rPr>
        <w:t xml:space="preserve"> classé BI-RADS </w:t>
      </w:r>
      <w:r w:rsidR="00262C0B">
        <w:rPr>
          <w:b/>
          <w:bCs/>
          <w:i/>
          <w:color w:val="000000"/>
          <w:sz w:val="24"/>
          <w:szCs w:val="24"/>
        </w:rPr>
        <w:t>5</w:t>
      </w:r>
      <w:r w:rsidR="00A90B0A" w:rsidRPr="00BB4893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EB2A23" w:rsidRPr="00BB4893" w:rsidRDefault="00EB2A23">
      <w:pPr>
        <w:tabs>
          <w:tab w:val="left" w:pos="3686"/>
        </w:tabs>
        <w:rPr>
          <w:sz w:val="24"/>
          <w:szCs w:val="24"/>
        </w:rPr>
      </w:pPr>
    </w:p>
    <w:p w:rsidR="00BB4893" w:rsidRPr="00BB4893" w:rsidRDefault="00BB489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BB4893" w:rsidRDefault="00EB2A23">
      <w:pPr>
        <w:rPr>
          <w:sz w:val="24"/>
          <w:szCs w:val="24"/>
        </w:rPr>
      </w:pPr>
    </w:p>
    <w:p w:rsidR="00320AF6" w:rsidRPr="00BB4893" w:rsidRDefault="00320AF6">
      <w:pPr>
        <w:rPr>
          <w:sz w:val="24"/>
          <w:szCs w:val="24"/>
        </w:rPr>
      </w:pPr>
    </w:p>
    <w:sectPr w:rsidR="00320AF6" w:rsidRPr="00BB489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691" w:rsidRDefault="003A2691" w:rsidP="00FF41A6">
      <w:r>
        <w:separator/>
      </w:r>
    </w:p>
  </w:endnote>
  <w:endnote w:type="continuationSeparator" w:id="0">
    <w:p w:rsidR="003A2691" w:rsidRDefault="003A269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691" w:rsidRDefault="003A2691" w:rsidP="00FF41A6">
      <w:r>
        <w:separator/>
      </w:r>
    </w:p>
  </w:footnote>
  <w:footnote w:type="continuationSeparator" w:id="0">
    <w:p w:rsidR="003A2691" w:rsidRDefault="003A269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74210"/>
    <w:multiLevelType w:val="hybridMultilevel"/>
    <w:tmpl w:val="4356CC2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F24A3"/>
    <w:rsid w:val="00136EEF"/>
    <w:rsid w:val="00262C0B"/>
    <w:rsid w:val="00266C96"/>
    <w:rsid w:val="00291FF6"/>
    <w:rsid w:val="002B58CC"/>
    <w:rsid w:val="002E6ABF"/>
    <w:rsid w:val="00320AF6"/>
    <w:rsid w:val="0038353D"/>
    <w:rsid w:val="00397A26"/>
    <w:rsid w:val="003A2691"/>
    <w:rsid w:val="003A5E15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47FBF"/>
    <w:rsid w:val="00661BF2"/>
    <w:rsid w:val="006925A3"/>
    <w:rsid w:val="006A5983"/>
    <w:rsid w:val="006E396B"/>
    <w:rsid w:val="00747A77"/>
    <w:rsid w:val="007571A5"/>
    <w:rsid w:val="00774FC8"/>
    <w:rsid w:val="007E48FA"/>
    <w:rsid w:val="007F2AFE"/>
    <w:rsid w:val="00835CC4"/>
    <w:rsid w:val="00846558"/>
    <w:rsid w:val="008B1520"/>
    <w:rsid w:val="00915587"/>
    <w:rsid w:val="00925E92"/>
    <w:rsid w:val="009301E8"/>
    <w:rsid w:val="00991837"/>
    <w:rsid w:val="00A11F2B"/>
    <w:rsid w:val="00A76F00"/>
    <w:rsid w:val="00A90B0A"/>
    <w:rsid w:val="00AB0164"/>
    <w:rsid w:val="00AB3DCA"/>
    <w:rsid w:val="00AF6EEF"/>
    <w:rsid w:val="00B00E2E"/>
    <w:rsid w:val="00B511D7"/>
    <w:rsid w:val="00B625CF"/>
    <w:rsid w:val="00B75A57"/>
    <w:rsid w:val="00B90949"/>
    <w:rsid w:val="00BB4893"/>
    <w:rsid w:val="00BB7310"/>
    <w:rsid w:val="00BC18CE"/>
    <w:rsid w:val="00BE1C55"/>
    <w:rsid w:val="00C7676D"/>
    <w:rsid w:val="00CD057F"/>
    <w:rsid w:val="00CE2491"/>
    <w:rsid w:val="00D159C3"/>
    <w:rsid w:val="00D77CF5"/>
    <w:rsid w:val="00DB31A0"/>
    <w:rsid w:val="00DC7E65"/>
    <w:rsid w:val="00DE01B8"/>
    <w:rsid w:val="00DE3E17"/>
    <w:rsid w:val="00E25639"/>
    <w:rsid w:val="00E31EF8"/>
    <w:rsid w:val="00EB2A23"/>
    <w:rsid w:val="00EE4ACF"/>
    <w:rsid w:val="00EF5AA2"/>
    <w:rsid w:val="00F0707D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D0E4CD-1929-4447-BE1D-60E47E54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