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834D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B2F4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pat-345 39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F18CE" w:rsidRDefault="008834D6" w:rsidP="003F18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F18CE">
        <w:rPr>
          <w:b/>
          <w:i/>
          <w:iCs/>
          <w:color w:val="000000"/>
          <w:sz w:val="24"/>
        </w:rPr>
        <w:t>MAMMOGRAPHIE</w:t>
      </w:r>
      <w:r w:rsidR="003F18CE" w:rsidRPr="003F18C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F18CE" w:rsidRDefault="00EB2A23">
      <w:pPr>
        <w:rPr>
          <w:b/>
          <w:color w:val="000000"/>
          <w:sz w:val="24"/>
          <w:szCs w:val="24"/>
        </w:rPr>
      </w:pPr>
      <w:r w:rsidRPr="003F18CE">
        <w:rPr>
          <w:b/>
          <w:iCs/>
          <w:color w:val="000000"/>
          <w:sz w:val="24"/>
          <w:szCs w:val="24"/>
          <w:u w:val="single"/>
        </w:rPr>
        <w:t>RESULTATS</w:t>
      </w:r>
      <w:r w:rsidRPr="003F18CE">
        <w:rPr>
          <w:b/>
          <w:i/>
          <w:color w:val="000000"/>
          <w:sz w:val="24"/>
          <w:szCs w:val="24"/>
        </w:rPr>
        <w:t>:</w:t>
      </w:r>
      <w:r w:rsidRPr="003F18CE">
        <w:rPr>
          <w:b/>
          <w:color w:val="000000"/>
          <w:sz w:val="24"/>
          <w:szCs w:val="24"/>
        </w:rPr>
        <w:t xml:space="preserve"> </w:t>
      </w:r>
    </w:p>
    <w:p w:rsidR="00EE4ACF" w:rsidRPr="003F18CE" w:rsidRDefault="00EE4ACF">
      <w:pPr>
        <w:rPr>
          <w:b/>
          <w:color w:val="000000"/>
          <w:sz w:val="24"/>
          <w:szCs w:val="24"/>
        </w:rPr>
      </w:pPr>
    </w:p>
    <w:p w:rsidR="00A90B0A" w:rsidRPr="003F18CE" w:rsidRDefault="00B00E2E" w:rsidP="003F18CE">
      <w:pPr>
        <w:ind w:firstLine="708"/>
        <w:rPr>
          <w:b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3F18C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F18CE" w:rsidRPr="003F18CE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3F18C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F18CE" w:rsidRDefault="00A90B0A" w:rsidP="00D20F88">
      <w:pPr>
        <w:rPr>
          <w:bCs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3F18CE" w:rsidRDefault="00D20F88" w:rsidP="00D20F8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surdensité de tonalité intermédiaire homogène, sans micro-calcifications en son sein, intéressant le QSE droit.</w:t>
      </w:r>
    </w:p>
    <w:p w:rsidR="00A90B0A" w:rsidRPr="003F18CE" w:rsidRDefault="00A90B0A" w:rsidP="00D20F88">
      <w:pPr>
        <w:rPr>
          <w:bCs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F18CE" w:rsidRDefault="00A90B0A" w:rsidP="003F18CE">
      <w:pPr>
        <w:rPr>
          <w:bCs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F18CE" w:rsidRDefault="00A90B0A" w:rsidP="00A90B0A">
      <w:pPr>
        <w:rPr>
          <w:bCs/>
          <w:color w:val="000000"/>
          <w:sz w:val="24"/>
          <w:szCs w:val="24"/>
        </w:rPr>
      </w:pPr>
    </w:p>
    <w:p w:rsidR="00A90B0A" w:rsidRPr="003F18CE" w:rsidRDefault="00A90B0A" w:rsidP="00C4226B">
      <w:pPr>
        <w:ind w:firstLine="708"/>
        <w:rPr>
          <w:bCs/>
          <w:color w:val="000000"/>
          <w:sz w:val="24"/>
          <w:szCs w:val="24"/>
        </w:rPr>
      </w:pPr>
      <w:r w:rsidRPr="003F18C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F18CE" w:rsidRPr="003F18CE">
        <w:rPr>
          <w:b/>
          <w:bCs/>
          <w:i/>
          <w:color w:val="000000"/>
          <w:sz w:val="24"/>
          <w:szCs w:val="24"/>
          <w:u w:val="single"/>
        </w:rPr>
        <w:t> :</w:t>
      </w:r>
      <w:r w:rsidRPr="003F18C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3F18CE" w:rsidRDefault="00C4226B" w:rsidP="00D95CC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surdensité sus-décrite correspond à une masse de forme grossièrement arrondie, aux contours circonscrits par endroits, hypoéchogène, kystisée, intéressant le prolongement axillaire droit, mesurant </w:t>
      </w:r>
      <w:r w:rsidR="00D95CC5">
        <w:rPr>
          <w:bCs/>
          <w:color w:val="000000"/>
          <w:sz w:val="24"/>
          <w:szCs w:val="24"/>
        </w:rPr>
        <w:t>18x15 mm.</w:t>
      </w:r>
    </w:p>
    <w:p w:rsidR="00A90B0A" w:rsidRPr="003F18CE" w:rsidRDefault="00A90B0A" w:rsidP="00C4226B">
      <w:pPr>
        <w:rPr>
          <w:bCs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</w:rPr>
        <w:t>Absence d’ombre acoustique pathologique.</w:t>
      </w:r>
    </w:p>
    <w:p w:rsidR="00A90B0A" w:rsidRPr="003F18CE" w:rsidRDefault="00A90B0A" w:rsidP="00C4226B">
      <w:pPr>
        <w:rPr>
          <w:bCs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</w:rPr>
        <w:t>Système canalaire non dilaté.</w:t>
      </w:r>
    </w:p>
    <w:p w:rsidR="00A90B0A" w:rsidRPr="003F18CE" w:rsidRDefault="00C4226B" w:rsidP="00D95CC5">
      <w:pPr>
        <w:rPr>
          <w:bCs/>
          <w:color w:val="000000"/>
          <w:sz w:val="24"/>
          <w:szCs w:val="24"/>
        </w:rPr>
      </w:pPr>
      <w:r w:rsidRPr="003F18CE">
        <w:rPr>
          <w:bCs/>
          <w:color w:val="000000"/>
          <w:sz w:val="24"/>
          <w:szCs w:val="24"/>
        </w:rPr>
        <w:t>A</w:t>
      </w:r>
      <w:r w:rsidR="00A90B0A" w:rsidRPr="003F18CE">
        <w:rPr>
          <w:bCs/>
          <w:color w:val="000000"/>
          <w:sz w:val="24"/>
          <w:szCs w:val="24"/>
        </w:rPr>
        <w:t>dénopathie</w:t>
      </w:r>
      <w:r>
        <w:rPr>
          <w:bCs/>
          <w:color w:val="000000"/>
          <w:sz w:val="24"/>
          <w:szCs w:val="24"/>
        </w:rPr>
        <w:t xml:space="preserve"> </w:t>
      </w:r>
      <w:r w:rsidR="00A90B0A" w:rsidRPr="003F18CE">
        <w:rPr>
          <w:bCs/>
          <w:color w:val="000000"/>
          <w:sz w:val="24"/>
          <w:szCs w:val="24"/>
        </w:rPr>
        <w:t>axillaire</w:t>
      </w:r>
      <w:r>
        <w:rPr>
          <w:bCs/>
          <w:color w:val="000000"/>
          <w:sz w:val="24"/>
          <w:szCs w:val="24"/>
        </w:rPr>
        <w:t xml:space="preserve"> droite à cortex épais, à centre graisseux, mesurant </w:t>
      </w:r>
      <w:r w:rsidR="00D95CC5">
        <w:rPr>
          <w:bCs/>
          <w:color w:val="000000"/>
          <w:sz w:val="24"/>
          <w:szCs w:val="24"/>
        </w:rPr>
        <w:t>9x5 mm</w:t>
      </w:r>
      <w:r w:rsidR="00A90B0A" w:rsidRPr="003F18CE">
        <w:rPr>
          <w:bCs/>
          <w:color w:val="000000"/>
          <w:sz w:val="24"/>
          <w:szCs w:val="24"/>
        </w:rPr>
        <w:t>.</w:t>
      </w:r>
    </w:p>
    <w:p w:rsidR="00A90B0A" w:rsidRPr="003F18CE" w:rsidRDefault="00A90B0A" w:rsidP="00A90B0A">
      <w:pPr>
        <w:rPr>
          <w:bCs/>
          <w:color w:val="000000"/>
          <w:sz w:val="24"/>
          <w:szCs w:val="24"/>
        </w:rPr>
      </w:pPr>
    </w:p>
    <w:p w:rsidR="00A90B0A" w:rsidRPr="003F18CE" w:rsidRDefault="003F18CE" w:rsidP="00134C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F18C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F18CE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134C31" w:rsidP="00134C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F18C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74BD2">
        <w:rPr>
          <w:b/>
          <w:bCs/>
          <w:i/>
          <w:color w:val="000000"/>
          <w:sz w:val="24"/>
          <w:szCs w:val="24"/>
        </w:rPr>
        <w:t>en faveur d’une masse kystisée droite s’agit il d’une col</w:t>
      </w:r>
      <w:r w:rsidR="00B1533E">
        <w:rPr>
          <w:b/>
          <w:bCs/>
          <w:i/>
          <w:color w:val="000000"/>
          <w:sz w:val="24"/>
          <w:szCs w:val="24"/>
        </w:rPr>
        <w:t>lection</w:t>
      </w:r>
      <w:r w:rsidR="00774BD2">
        <w:rPr>
          <w:b/>
          <w:bCs/>
          <w:i/>
          <w:color w:val="000000"/>
          <w:sz w:val="24"/>
          <w:szCs w:val="24"/>
        </w:rPr>
        <w:t>? et/ou à compléter par cytoponction si persistance de la lésion.</w:t>
      </w:r>
    </w:p>
    <w:p w:rsidR="00774BD2" w:rsidRPr="003F18CE" w:rsidRDefault="00134C31" w:rsidP="00B153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774BD2">
        <w:rPr>
          <w:b/>
          <w:bCs/>
          <w:i/>
          <w:color w:val="000000"/>
          <w:sz w:val="24"/>
          <w:szCs w:val="24"/>
        </w:rPr>
        <w:t>Adénopathie axillaire homolatérale d’allure inflammatoire.</w:t>
      </w:r>
    </w:p>
    <w:p w:rsidR="00A90B0A" w:rsidRPr="003F18CE" w:rsidRDefault="00134C31" w:rsidP="00134C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F18CE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774BD2">
        <w:rPr>
          <w:b/>
          <w:bCs/>
          <w:i/>
          <w:color w:val="000000"/>
          <w:sz w:val="24"/>
          <w:szCs w:val="24"/>
        </w:rPr>
        <w:t>4a</w:t>
      </w:r>
      <w:r w:rsidR="00A90B0A" w:rsidRPr="003F18CE">
        <w:rPr>
          <w:b/>
          <w:bCs/>
          <w:i/>
          <w:color w:val="000000"/>
          <w:sz w:val="24"/>
          <w:szCs w:val="24"/>
        </w:rPr>
        <w:t xml:space="preserve"> de l’ACR</w:t>
      </w:r>
      <w:r w:rsidR="00774BD2">
        <w:rPr>
          <w:b/>
          <w:bCs/>
          <w:i/>
          <w:color w:val="000000"/>
          <w:sz w:val="24"/>
          <w:szCs w:val="24"/>
        </w:rPr>
        <w:t xml:space="preserve"> à droite et BI-RADS 1 de l'ACR à gauche</w:t>
      </w:r>
      <w:r w:rsidR="00A90B0A" w:rsidRPr="003F18CE">
        <w:rPr>
          <w:b/>
          <w:bCs/>
          <w:i/>
          <w:color w:val="000000"/>
          <w:sz w:val="24"/>
          <w:szCs w:val="24"/>
        </w:rPr>
        <w:t>.</w:t>
      </w:r>
    </w:p>
    <w:p w:rsidR="00EB2A23" w:rsidRPr="003F18CE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3F18CE" w:rsidRPr="003F18CE" w:rsidRDefault="003F18CE">
      <w:pPr>
        <w:tabs>
          <w:tab w:val="left" w:pos="3686"/>
        </w:tabs>
        <w:rPr>
          <w:sz w:val="24"/>
          <w:szCs w:val="24"/>
        </w:rPr>
      </w:pPr>
    </w:p>
    <w:p w:rsidR="00EB2A23" w:rsidRPr="003F18CE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F18CE" w:rsidRDefault="00EB2A23">
      <w:pPr>
        <w:rPr>
          <w:b/>
          <w:color w:val="000000"/>
          <w:sz w:val="24"/>
          <w:szCs w:val="24"/>
        </w:rPr>
      </w:pPr>
    </w:p>
    <w:p w:rsidR="00EB2A23" w:rsidRPr="003F18CE" w:rsidRDefault="00EB2A23">
      <w:pPr>
        <w:rPr>
          <w:sz w:val="24"/>
          <w:szCs w:val="24"/>
        </w:rPr>
      </w:pPr>
    </w:p>
    <w:p w:rsidR="00EB2A23" w:rsidRPr="003F18CE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417" w:rsidRDefault="00DF6417" w:rsidP="00FF41A6">
      <w:r>
        <w:separator/>
      </w:r>
    </w:p>
  </w:endnote>
  <w:endnote w:type="continuationSeparator" w:id="0">
    <w:p w:rsidR="00DF6417" w:rsidRDefault="00DF641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31" w:rsidRDefault="00134C31" w:rsidP="00F515B5">
    <w:pPr>
      <w:jc w:val="center"/>
      <w:rPr>
        <w:rFonts w:eastAsia="Calibri"/>
        <w:i/>
        <w:iCs/>
        <w:sz w:val="18"/>
        <w:szCs w:val="18"/>
      </w:rPr>
    </w:pPr>
  </w:p>
  <w:p w:rsidR="00134C31" w:rsidRDefault="00134C31" w:rsidP="00F515B5">
    <w:pPr>
      <w:tabs>
        <w:tab w:val="center" w:pos="4536"/>
        <w:tab w:val="right" w:pos="9072"/>
      </w:tabs>
      <w:jc w:val="center"/>
    </w:pPr>
  </w:p>
  <w:p w:rsidR="00134C31" w:rsidRPr="00F515B5" w:rsidRDefault="00134C3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417" w:rsidRDefault="00DF6417" w:rsidP="00FF41A6">
      <w:r>
        <w:separator/>
      </w:r>
    </w:p>
  </w:footnote>
  <w:footnote w:type="continuationSeparator" w:id="0">
    <w:p w:rsidR="00DF6417" w:rsidRDefault="00DF641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31" w:rsidRDefault="00134C3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34C31" w:rsidRPr="00426781" w:rsidRDefault="00134C31" w:rsidP="00FF41A6">
    <w:pPr>
      <w:pStyle w:val="NoSpacing"/>
      <w:jc w:val="center"/>
      <w:rPr>
        <w:rFonts w:ascii="Tw Cen MT" w:hAnsi="Tw Cen MT"/>
      </w:rPr>
    </w:pPr>
  </w:p>
  <w:p w:rsidR="00134C31" w:rsidRDefault="00134C31" w:rsidP="00FF41A6">
    <w:pPr>
      <w:pStyle w:val="NoSpacing"/>
      <w:jc w:val="center"/>
      <w:rPr>
        <w:rFonts w:ascii="Tw Cen MT" w:hAnsi="Tw Cen MT"/>
      </w:rPr>
    </w:pPr>
  </w:p>
  <w:p w:rsidR="00134C31" w:rsidRPr="00D104DB" w:rsidRDefault="00134C31" w:rsidP="00FF41A6">
    <w:pPr>
      <w:pStyle w:val="NoSpacing"/>
      <w:jc w:val="center"/>
      <w:rPr>
        <w:sz w:val="16"/>
        <w:szCs w:val="16"/>
      </w:rPr>
    </w:pPr>
  </w:p>
  <w:p w:rsidR="00134C31" w:rsidRDefault="00134C3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4C31"/>
    <w:rsid w:val="00136EEF"/>
    <w:rsid w:val="00266C96"/>
    <w:rsid w:val="00291FF6"/>
    <w:rsid w:val="002B58CC"/>
    <w:rsid w:val="00320AF6"/>
    <w:rsid w:val="0038353D"/>
    <w:rsid w:val="00397A26"/>
    <w:rsid w:val="003F18CE"/>
    <w:rsid w:val="004038CE"/>
    <w:rsid w:val="00413297"/>
    <w:rsid w:val="00425DD9"/>
    <w:rsid w:val="0044588C"/>
    <w:rsid w:val="00483B47"/>
    <w:rsid w:val="00487E9D"/>
    <w:rsid w:val="004E0DFB"/>
    <w:rsid w:val="004E1488"/>
    <w:rsid w:val="005018C7"/>
    <w:rsid w:val="00513A2C"/>
    <w:rsid w:val="0055089C"/>
    <w:rsid w:val="006925A3"/>
    <w:rsid w:val="006A5983"/>
    <w:rsid w:val="006E396B"/>
    <w:rsid w:val="007571A5"/>
    <w:rsid w:val="00774BD2"/>
    <w:rsid w:val="007B2F4E"/>
    <w:rsid w:val="007F2AFE"/>
    <w:rsid w:val="008834D6"/>
    <w:rsid w:val="008B1520"/>
    <w:rsid w:val="00915587"/>
    <w:rsid w:val="00991837"/>
    <w:rsid w:val="009D63A5"/>
    <w:rsid w:val="00A11F2B"/>
    <w:rsid w:val="00A76F00"/>
    <w:rsid w:val="00A90B0A"/>
    <w:rsid w:val="00AB3DCA"/>
    <w:rsid w:val="00AF6EEF"/>
    <w:rsid w:val="00B00E2E"/>
    <w:rsid w:val="00B1533E"/>
    <w:rsid w:val="00B511D7"/>
    <w:rsid w:val="00B625CF"/>
    <w:rsid w:val="00B75A57"/>
    <w:rsid w:val="00B90949"/>
    <w:rsid w:val="00BB7310"/>
    <w:rsid w:val="00BC18CE"/>
    <w:rsid w:val="00BE1C55"/>
    <w:rsid w:val="00C4226B"/>
    <w:rsid w:val="00C452A8"/>
    <w:rsid w:val="00C7676D"/>
    <w:rsid w:val="00CD057F"/>
    <w:rsid w:val="00CE2491"/>
    <w:rsid w:val="00D159C3"/>
    <w:rsid w:val="00D20F88"/>
    <w:rsid w:val="00D77CF5"/>
    <w:rsid w:val="00D95CC5"/>
    <w:rsid w:val="00DC7E65"/>
    <w:rsid w:val="00DE3E17"/>
    <w:rsid w:val="00DF64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0E75E5-E73A-469C-89F1-F03EACD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