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4F317F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15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6B5B46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pat-346 48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3737B8" w:rsidRDefault="004F317F" w:rsidP="003737B8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3737B8">
        <w:rPr>
          <w:b/>
          <w:i/>
          <w:iCs/>
          <w:color w:val="000000"/>
          <w:sz w:val="24"/>
        </w:rPr>
        <w:t>MAMMOGRAPHIE</w:t>
      </w:r>
      <w:r w:rsidR="003737B8" w:rsidRPr="003737B8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3737B8" w:rsidRDefault="00EB2A23">
      <w:pPr>
        <w:rPr>
          <w:b/>
          <w:color w:val="000000"/>
          <w:sz w:val="24"/>
          <w:szCs w:val="24"/>
        </w:rPr>
      </w:pPr>
    </w:p>
    <w:p w:rsidR="00EB2A23" w:rsidRPr="003737B8" w:rsidRDefault="00EB2A23">
      <w:pPr>
        <w:rPr>
          <w:b/>
          <w:color w:val="000000"/>
          <w:sz w:val="24"/>
          <w:szCs w:val="24"/>
        </w:rPr>
      </w:pPr>
      <w:r w:rsidRPr="003737B8">
        <w:rPr>
          <w:b/>
          <w:iCs/>
          <w:color w:val="000000"/>
          <w:sz w:val="24"/>
          <w:szCs w:val="24"/>
          <w:u w:val="single"/>
        </w:rPr>
        <w:t>RESULTATS</w:t>
      </w:r>
      <w:r w:rsidRPr="003737B8">
        <w:rPr>
          <w:b/>
          <w:i/>
          <w:color w:val="000000"/>
          <w:sz w:val="24"/>
          <w:szCs w:val="24"/>
        </w:rPr>
        <w:t>:</w:t>
      </w:r>
      <w:r w:rsidRPr="003737B8">
        <w:rPr>
          <w:b/>
          <w:color w:val="000000"/>
          <w:sz w:val="24"/>
          <w:szCs w:val="24"/>
        </w:rPr>
        <w:t xml:space="preserve"> </w:t>
      </w:r>
    </w:p>
    <w:p w:rsidR="00EE4ACF" w:rsidRPr="003737B8" w:rsidRDefault="00EE4ACF">
      <w:pPr>
        <w:rPr>
          <w:b/>
          <w:color w:val="000000"/>
          <w:sz w:val="24"/>
          <w:szCs w:val="24"/>
        </w:rPr>
      </w:pPr>
    </w:p>
    <w:p w:rsidR="00A90B0A" w:rsidRPr="003737B8" w:rsidRDefault="00A90B0A" w:rsidP="003737B8">
      <w:pPr>
        <w:ind w:firstLine="708"/>
        <w:rPr>
          <w:b/>
          <w:i/>
          <w:color w:val="000000"/>
          <w:sz w:val="24"/>
          <w:szCs w:val="24"/>
          <w:u w:val="single"/>
        </w:rPr>
      </w:pPr>
      <w:r w:rsidRPr="003737B8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3737B8" w:rsidRPr="003737B8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90B0A" w:rsidRPr="003737B8" w:rsidRDefault="00A90B0A" w:rsidP="00497BE9">
      <w:pPr>
        <w:rPr>
          <w:bCs/>
          <w:color w:val="000000"/>
          <w:sz w:val="24"/>
          <w:szCs w:val="24"/>
        </w:rPr>
      </w:pPr>
      <w:r w:rsidRPr="003737B8">
        <w:rPr>
          <w:bCs/>
          <w:color w:val="000000"/>
          <w:sz w:val="24"/>
          <w:szCs w:val="24"/>
        </w:rPr>
        <w:t>Seins à trame fibro-graisseuse hétérogène type b de l’ACR.</w:t>
      </w:r>
    </w:p>
    <w:p w:rsidR="00A90B0A" w:rsidRDefault="00A90B0A" w:rsidP="00A90B0A">
      <w:pPr>
        <w:rPr>
          <w:bCs/>
          <w:color w:val="000000"/>
          <w:sz w:val="24"/>
          <w:szCs w:val="24"/>
        </w:rPr>
      </w:pPr>
      <w:r w:rsidRPr="003737B8">
        <w:rPr>
          <w:bCs/>
          <w:color w:val="000000"/>
          <w:sz w:val="24"/>
          <w:szCs w:val="24"/>
        </w:rPr>
        <w:t>Absence de masse suspecte.</w:t>
      </w:r>
    </w:p>
    <w:p w:rsidR="00A90B0A" w:rsidRPr="003737B8" w:rsidRDefault="00497BE9" w:rsidP="00497BE9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Micro-calcifications régulières éparses et bilatérales.</w:t>
      </w:r>
    </w:p>
    <w:p w:rsidR="00A90B0A" w:rsidRPr="003737B8" w:rsidRDefault="00A90B0A" w:rsidP="00497BE9">
      <w:pPr>
        <w:rPr>
          <w:bCs/>
          <w:color w:val="000000"/>
          <w:sz w:val="24"/>
          <w:szCs w:val="24"/>
        </w:rPr>
      </w:pPr>
      <w:r w:rsidRPr="003737B8">
        <w:rPr>
          <w:bCs/>
          <w:color w:val="000000"/>
          <w:sz w:val="24"/>
          <w:szCs w:val="24"/>
        </w:rPr>
        <w:t>Absence de foyer de micro-calcifications péjoratif.</w:t>
      </w:r>
    </w:p>
    <w:p w:rsidR="00A90B0A" w:rsidRPr="003737B8" w:rsidRDefault="00A90B0A" w:rsidP="00A90B0A">
      <w:pPr>
        <w:rPr>
          <w:bCs/>
          <w:color w:val="000000"/>
          <w:sz w:val="24"/>
          <w:szCs w:val="24"/>
        </w:rPr>
      </w:pPr>
      <w:r w:rsidRPr="003737B8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3737B8" w:rsidRDefault="00A90B0A" w:rsidP="00A90B0A">
      <w:pPr>
        <w:rPr>
          <w:bCs/>
          <w:color w:val="000000"/>
          <w:sz w:val="24"/>
          <w:szCs w:val="24"/>
        </w:rPr>
      </w:pPr>
    </w:p>
    <w:p w:rsidR="00A90B0A" w:rsidRPr="003737B8" w:rsidRDefault="00A90B0A" w:rsidP="003737B8">
      <w:pPr>
        <w:ind w:firstLine="708"/>
        <w:rPr>
          <w:bCs/>
          <w:color w:val="000000"/>
          <w:sz w:val="24"/>
          <w:szCs w:val="24"/>
        </w:rPr>
      </w:pPr>
      <w:r w:rsidRPr="003737B8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3737B8" w:rsidRPr="003737B8">
        <w:rPr>
          <w:b/>
          <w:bCs/>
          <w:i/>
          <w:color w:val="000000"/>
          <w:sz w:val="24"/>
          <w:szCs w:val="24"/>
          <w:u w:val="single"/>
        </w:rPr>
        <w:t> :</w:t>
      </w:r>
      <w:r w:rsidRPr="003737B8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Default="00497BE9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Présence de quelques formations kystiques à paroi fine et régulière, à contenu homogène anéchogène, siégeant et mesurant comme suit :</w:t>
      </w:r>
    </w:p>
    <w:p w:rsidR="00497BE9" w:rsidRPr="00A42979" w:rsidRDefault="00497BE9" w:rsidP="00A42979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A42979">
        <w:rPr>
          <w:bCs/>
          <w:i/>
          <w:iCs/>
          <w:color w:val="000000"/>
          <w:sz w:val="24"/>
          <w:szCs w:val="24"/>
        </w:rPr>
        <w:t>QIE droit de 6,4 mm.</w:t>
      </w:r>
    </w:p>
    <w:p w:rsidR="00497BE9" w:rsidRPr="00A42979" w:rsidRDefault="00497BE9" w:rsidP="00A42979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A42979">
        <w:rPr>
          <w:bCs/>
          <w:i/>
          <w:iCs/>
          <w:color w:val="000000"/>
          <w:sz w:val="24"/>
          <w:szCs w:val="24"/>
        </w:rPr>
        <w:t>QME droit de 3,7 mm.</w:t>
      </w:r>
    </w:p>
    <w:p w:rsidR="00A90B0A" w:rsidRPr="00A42979" w:rsidRDefault="00497BE9" w:rsidP="00A42979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A42979">
        <w:rPr>
          <w:bCs/>
          <w:i/>
          <w:iCs/>
          <w:color w:val="000000"/>
          <w:sz w:val="24"/>
          <w:szCs w:val="24"/>
        </w:rPr>
        <w:t>QME gauche de 3,4 mm.</w:t>
      </w:r>
    </w:p>
    <w:p w:rsidR="00A90B0A" w:rsidRPr="003737B8" w:rsidRDefault="00A90B0A" w:rsidP="00497BE9">
      <w:pPr>
        <w:rPr>
          <w:bCs/>
          <w:color w:val="000000"/>
          <w:sz w:val="24"/>
          <w:szCs w:val="24"/>
        </w:rPr>
      </w:pPr>
      <w:r w:rsidRPr="003737B8">
        <w:rPr>
          <w:bCs/>
          <w:color w:val="000000"/>
          <w:sz w:val="24"/>
          <w:szCs w:val="24"/>
        </w:rPr>
        <w:t>Absence d’ombre acoustique pathologique.</w:t>
      </w:r>
      <w:r w:rsidR="00497BE9" w:rsidRPr="003737B8">
        <w:rPr>
          <w:bCs/>
          <w:color w:val="000000"/>
          <w:sz w:val="24"/>
          <w:szCs w:val="24"/>
        </w:rPr>
        <w:t xml:space="preserve"> </w:t>
      </w:r>
    </w:p>
    <w:p w:rsidR="00A90B0A" w:rsidRPr="003737B8" w:rsidRDefault="00A90B0A" w:rsidP="00497BE9">
      <w:pPr>
        <w:rPr>
          <w:bCs/>
          <w:color w:val="000000"/>
          <w:sz w:val="24"/>
          <w:szCs w:val="24"/>
        </w:rPr>
      </w:pPr>
      <w:r w:rsidRPr="003737B8">
        <w:rPr>
          <w:bCs/>
          <w:color w:val="000000"/>
          <w:sz w:val="24"/>
          <w:szCs w:val="24"/>
        </w:rPr>
        <w:t>Système canalaire non dilaté.</w:t>
      </w:r>
    </w:p>
    <w:p w:rsidR="00A90B0A" w:rsidRPr="003737B8" w:rsidRDefault="00A90B0A" w:rsidP="00A90B0A">
      <w:pPr>
        <w:rPr>
          <w:bCs/>
          <w:color w:val="000000"/>
          <w:sz w:val="24"/>
          <w:szCs w:val="24"/>
        </w:rPr>
      </w:pPr>
      <w:r w:rsidRPr="003737B8">
        <w:rPr>
          <w:bCs/>
          <w:color w:val="000000"/>
          <w:sz w:val="24"/>
          <w:szCs w:val="24"/>
        </w:rPr>
        <w:t>Absence d’adénopathies axillaires.</w:t>
      </w:r>
    </w:p>
    <w:p w:rsidR="00A90B0A" w:rsidRPr="003737B8" w:rsidRDefault="00A90B0A" w:rsidP="00A90B0A">
      <w:pPr>
        <w:rPr>
          <w:bCs/>
          <w:color w:val="000000"/>
          <w:sz w:val="24"/>
          <w:szCs w:val="24"/>
        </w:rPr>
      </w:pPr>
    </w:p>
    <w:p w:rsidR="00A90B0A" w:rsidRPr="003737B8" w:rsidRDefault="003737B8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3737B8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3737B8">
        <w:rPr>
          <w:b/>
          <w:bCs/>
          <w:iCs/>
          <w:color w:val="000000"/>
          <w:sz w:val="24"/>
          <w:szCs w:val="24"/>
        </w:rPr>
        <w:t xml:space="preserve"> :</w:t>
      </w:r>
    </w:p>
    <w:p w:rsidR="00A90B0A" w:rsidRPr="003737B8" w:rsidRDefault="00A42979" w:rsidP="00497B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3737B8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497BE9">
        <w:rPr>
          <w:b/>
          <w:bCs/>
          <w:i/>
          <w:color w:val="000000"/>
          <w:sz w:val="24"/>
          <w:szCs w:val="24"/>
        </w:rPr>
        <w:t>en faveur de micro-calcifications bilatérales d’allure dystrophique, sur une dystrophie kystique simple bilatérale</w:t>
      </w:r>
    </w:p>
    <w:p w:rsidR="00A90B0A" w:rsidRPr="003737B8" w:rsidRDefault="00A42979" w:rsidP="00497B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3737B8">
        <w:rPr>
          <w:b/>
          <w:bCs/>
          <w:i/>
          <w:color w:val="000000"/>
          <w:sz w:val="24"/>
          <w:szCs w:val="24"/>
        </w:rPr>
        <w:t xml:space="preserve">Examen classé BI-RADS </w:t>
      </w:r>
      <w:r w:rsidR="00497BE9">
        <w:rPr>
          <w:b/>
          <w:bCs/>
          <w:i/>
          <w:color w:val="000000"/>
          <w:sz w:val="24"/>
          <w:szCs w:val="24"/>
        </w:rPr>
        <w:t>2</w:t>
      </w:r>
      <w:r w:rsidR="00A90B0A" w:rsidRPr="003737B8">
        <w:rPr>
          <w:b/>
          <w:bCs/>
          <w:i/>
          <w:color w:val="000000"/>
          <w:sz w:val="24"/>
          <w:szCs w:val="24"/>
        </w:rPr>
        <w:t xml:space="preserve"> de l’ACR</w:t>
      </w:r>
      <w:r w:rsidR="00497BE9">
        <w:rPr>
          <w:b/>
          <w:bCs/>
          <w:i/>
          <w:color w:val="000000"/>
          <w:sz w:val="24"/>
          <w:szCs w:val="24"/>
        </w:rPr>
        <w:t xml:space="preserve"> de façon bilatérale</w:t>
      </w:r>
      <w:r w:rsidR="00A90B0A" w:rsidRPr="003737B8">
        <w:rPr>
          <w:b/>
          <w:bCs/>
          <w:i/>
          <w:color w:val="000000"/>
          <w:sz w:val="24"/>
          <w:szCs w:val="24"/>
        </w:rPr>
        <w:t>.</w:t>
      </w:r>
    </w:p>
    <w:p w:rsidR="00EB2A23" w:rsidRPr="003737B8" w:rsidRDefault="00EB2A23">
      <w:pPr>
        <w:tabs>
          <w:tab w:val="left" w:pos="3686"/>
        </w:tabs>
        <w:rPr>
          <w:sz w:val="24"/>
          <w:szCs w:val="24"/>
        </w:rPr>
      </w:pPr>
    </w:p>
    <w:p w:rsidR="00EB2A23" w:rsidRPr="003737B8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3737B8" w:rsidRPr="003737B8" w:rsidRDefault="003737B8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3737B8" w:rsidRDefault="00EB2A23">
      <w:pPr>
        <w:rPr>
          <w:b/>
          <w:color w:val="000000"/>
          <w:sz w:val="24"/>
          <w:szCs w:val="24"/>
        </w:rPr>
      </w:pPr>
    </w:p>
    <w:p w:rsidR="00EB2A23" w:rsidRPr="003737B8" w:rsidRDefault="00EB2A23">
      <w:pPr>
        <w:rPr>
          <w:sz w:val="24"/>
          <w:szCs w:val="24"/>
        </w:rPr>
      </w:pPr>
    </w:p>
    <w:p w:rsidR="00EB2A23" w:rsidRPr="003737B8" w:rsidRDefault="00EB2A23">
      <w:pPr>
        <w:rPr>
          <w:sz w:val="24"/>
          <w:szCs w:val="24"/>
        </w:rPr>
      </w:pPr>
    </w:p>
    <w:p w:rsidR="00320AF6" w:rsidRPr="003737B8" w:rsidRDefault="00320AF6">
      <w:pPr>
        <w:rPr>
          <w:sz w:val="24"/>
          <w:szCs w:val="24"/>
        </w:rPr>
      </w:pPr>
    </w:p>
    <w:sectPr w:rsidR="00320AF6" w:rsidRPr="003737B8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77F5" w:rsidRDefault="009B77F5" w:rsidP="00FF41A6">
      <w:r>
        <w:separator/>
      </w:r>
    </w:p>
  </w:endnote>
  <w:endnote w:type="continuationSeparator" w:id="0">
    <w:p w:rsidR="009B77F5" w:rsidRDefault="009B77F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77F5" w:rsidRDefault="009B77F5" w:rsidP="00FF41A6">
      <w:r>
        <w:separator/>
      </w:r>
    </w:p>
  </w:footnote>
  <w:footnote w:type="continuationSeparator" w:id="0">
    <w:p w:rsidR="009B77F5" w:rsidRDefault="009B77F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4F6188"/>
    <w:multiLevelType w:val="hybridMultilevel"/>
    <w:tmpl w:val="F0E88F96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6EEF"/>
    <w:rsid w:val="00266C96"/>
    <w:rsid w:val="00291FF6"/>
    <w:rsid w:val="002B58CC"/>
    <w:rsid w:val="00312F76"/>
    <w:rsid w:val="00320AF6"/>
    <w:rsid w:val="003737B8"/>
    <w:rsid w:val="0038353D"/>
    <w:rsid w:val="00397A26"/>
    <w:rsid w:val="004038CE"/>
    <w:rsid w:val="00413297"/>
    <w:rsid w:val="00425DD9"/>
    <w:rsid w:val="00483B47"/>
    <w:rsid w:val="00487E9D"/>
    <w:rsid w:val="00497BE9"/>
    <w:rsid w:val="004E0DFB"/>
    <w:rsid w:val="004E1488"/>
    <w:rsid w:val="004F317F"/>
    <w:rsid w:val="005018C7"/>
    <w:rsid w:val="0055089C"/>
    <w:rsid w:val="006925A3"/>
    <w:rsid w:val="006A5983"/>
    <w:rsid w:val="006B5B46"/>
    <w:rsid w:val="006E396B"/>
    <w:rsid w:val="007571A5"/>
    <w:rsid w:val="007F2AFE"/>
    <w:rsid w:val="008B1520"/>
    <w:rsid w:val="00915587"/>
    <w:rsid w:val="00991837"/>
    <w:rsid w:val="009B77F5"/>
    <w:rsid w:val="00A11F2B"/>
    <w:rsid w:val="00A42979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CE2491"/>
    <w:rsid w:val="00D015C4"/>
    <w:rsid w:val="00D159C3"/>
    <w:rsid w:val="00D77CF5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C65FE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AAF72DF-6FE6-4C2E-8947-E9AB054F6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952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2023-09-18T22:19:00Z</dcterms:created>
  <dcterms:modified xsi:type="dcterms:W3CDTF">2023-09-18T22:19:00Z</dcterms:modified>
</cp:coreProperties>
</file>