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F698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568DE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pat-368 37 ANS </w:t>
      </w:r>
    </w:p>
    <w:p w:rsidR="00EB2A23" w:rsidRPr="002945DC" w:rsidRDefault="00BC18CE" w:rsidP="002945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945DC">
        <w:rPr>
          <w:b/>
          <w:i/>
          <w:iCs/>
          <w:color w:val="000000"/>
          <w:sz w:val="24"/>
        </w:rPr>
        <w:t xml:space="preserve"> </w:t>
      </w:r>
      <w:r w:rsidR="00DF6982" w:rsidRPr="002945DC">
        <w:rPr>
          <w:b/>
          <w:i/>
          <w:iCs/>
          <w:color w:val="000000"/>
          <w:sz w:val="24"/>
        </w:rPr>
        <w:t>MAMMOGRAPHIE</w:t>
      </w:r>
      <w:r w:rsidR="002945DC" w:rsidRPr="002945D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139CE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A139CE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A139CE" w:rsidRDefault="009D0162" w:rsidP="0096769E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Bilan</w:t>
      </w:r>
      <w:r w:rsidR="00C41FFE">
        <w:rPr>
          <w:bCs/>
          <w:color w:val="000000"/>
          <w:sz w:val="22"/>
          <w:szCs w:val="22"/>
        </w:rPr>
        <w:t xml:space="preserve"> </w:t>
      </w:r>
      <w:r w:rsidRPr="00A139CE">
        <w:rPr>
          <w:bCs/>
          <w:color w:val="000000"/>
          <w:sz w:val="22"/>
          <w:szCs w:val="22"/>
        </w:rPr>
        <w:t xml:space="preserve"> d’une néoplasie mammaire du QSE gauche</w:t>
      </w:r>
      <w:r w:rsidR="000D409F" w:rsidRPr="00A139CE">
        <w:rPr>
          <w:bCs/>
          <w:color w:val="000000"/>
          <w:sz w:val="22"/>
          <w:szCs w:val="22"/>
        </w:rPr>
        <w:t>.</w:t>
      </w:r>
    </w:p>
    <w:p w:rsidR="000D409F" w:rsidRPr="00A139CE" w:rsidRDefault="00C41FFE" w:rsidP="00C41FFE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</w:t>
      </w:r>
      <w:r w:rsidR="000D409F" w:rsidRPr="00A139CE">
        <w:rPr>
          <w:bCs/>
          <w:color w:val="000000"/>
          <w:sz w:val="22"/>
          <w:szCs w:val="22"/>
        </w:rPr>
        <w:t>ntécédents familiaux</w:t>
      </w:r>
      <w:r>
        <w:rPr>
          <w:bCs/>
          <w:color w:val="000000"/>
          <w:sz w:val="22"/>
          <w:szCs w:val="22"/>
        </w:rPr>
        <w:t xml:space="preserve"> positifs : C</w:t>
      </w:r>
      <w:r w:rsidR="000D409F" w:rsidRPr="00A139CE">
        <w:rPr>
          <w:bCs/>
          <w:color w:val="000000"/>
          <w:sz w:val="22"/>
          <w:szCs w:val="22"/>
        </w:rPr>
        <w:t>ancer du sein chez la sœur et plusieurs cousines maternelles.</w:t>
      </w:r>
    </w:p>
    <w:p w:rsidR="000D409F" w:rsidRPr="00A139CE" w:rsidRDefault="000D409F" w:rsidP="0096769E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La patiente a subi une PMA en début de l’année.</w:t>
      </w:r>
    </w:p>
    <w:p w:rsidR="0096769E" w:rsidRPr="00A139CE" w:rsidRDefault="0096769E" w:rsidP="0096769E">
      <w:pPr>
        <w:rPr>
          <w:bCs/>
          <w:color w:val="000000"/>
          <w:sz w:val="16"/>
          <w:szCs w:val="16"/>
        </w:rPr>
      </w:pPr>
    </w:p>
    <w:p w:rsidR="0096769E" w:rsidRPr="00A139CE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A139CE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A139CE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A139CE" w:rsidRDefault="0096769E" w:rsidP="00170174">
      <w:pPr>
        <w:rPr>
          <w:b/>
          <w:bCs/>
          <w:i/>
          <w:color w:val="000000"/>
          <w:sz w:val="22"/>
          <w:szCs w:val="22"/>
          <w:u w:val="single"/>
        </w:rPr>
      </w:pPr>
      <w:r w:rsidRPr="00A139CE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A139CE" w:rsidRDefault="0096769E" w:rsidP="00B97D70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 xml:space="preserve">Seins </w:t>
      </w:r>
      <w:r w:rsidR="00B05B03" w:rsidRPr="00A139CE">
        <w:rPr>
          <w:bCs/>
          <w:color w:val="000000"/>
          <w:sz w:val="22"/>
          <w:szCs w:val="22"/>
        </w:rPr>
        <w:t>denses</w:t>
      </w:r>
      <w:r w:rsidRPr="00A139CE">
        <w:rPr>
          <w:bCs/>
          <w:color w:val="000000"/>
          <w:sz w:val="22"/>
          <w:szCs w:val="22"/>
        </w:rPr>
        <w:t xml:space="preserve"> hétérogènes type </w:t>
      </w:r>
      <w:r w:rsidR="00B05B03" w:rsidRPr="00A139CE">
        <w:rPr>
          <w:bCs/>
          <w:color w:val="000000"/>
          <w:sz w:val="22"/>
          <w:szCs w:val="22"/>
        </w:rPr>
        <w:t>c</w:t>
      </w:r>
      <w:r w:rsidRPr="00A139CE">
        <w:rPr>
          <w:bCs/>
          <w:color w:val="000000"/>
          <w:sz w:val="22"/>
          <w:szCs w:val="22"/>
        </w:rPr>
        <w:t xml:space="preserve"> de l’ACR. </w:t>
      </w:r>
    </w:p>
    <w:p w:rsidR="00B97D70" w:rsidRPr="00A139CE" w:rsidRDefault="00B97D70" w:rsidP="00DB4B67">
      <w:pPr>
        <w:rPr>
          <w:b/>
          <w:i/>
          <w:iCs/>
          <w:color w:val="000000"/>
          <w:sz w:val="22"/>
          <w:szCs w:val="22"/>
          <w:u w:val="single"/>
        </w:rPr>
      </w:pPr>
      <w:r w:rsidRPr="00A139CE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B05B03" w:rsidRPr="00A139CE" w:rsidRDefault="00B05B03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Masse irrégulière, mal circonscrite</w:t>
      </w:r>
      <w:r w:rsidR="00DB4B67" w:rsidRPr="00A139CE">
        <w:rPr>
          <w:bCs/>
          <w:color w:val="000000"/>
          <w:sz w:val="22"/>
          <w:szCs w:val="22"/>
        </w:rPr>
        <w:t>s</w:t>
      </w:r>
      <w:r w:rsidRPr="00A139CE">
        <w:rPr>
          <w:bCs/>
          <w:color w:val="000000"/>
          <w:sz w:val="22"/>
          <w:szCs w:val="22"/>
        </w:rPr>
        <w:t xml:space="preserve"> du QSE associée</w:t>
      </w:r>
      <w:r w:rsidR="00C41FFE">
        <w:rPr>
          <w:bCs/>
          <w:color w:val="000000"/>
          <w:sz w:val="22"/>
          <w:szCs w:val="22"/>
        </w:rPr>
        <w:t>s</w:t>
      </w:r>
      <w:r w:rsidRPr="00A139CE">
        <w:rPr>
          <w:bCs/>
          <w:color w:val="000000"/>
          <w:sz w:val="22"/>
          <w:szCs w:val="22"/>
        </w:rPr>
        <w:t xml:space="preserve"> à quelques </w:t>
      </w:r>
      <w:r w:rsidR="00E81149" w:rsidRPr="00A139CE">
        <w:rPr>
          <w:bCs/>
          <w:color w:val="000000"/>
          <w:sz w:val="22"/>
          <w:szCs w:val="22"/>
        </w:rPr>
        <w:t>microcalcifications</w:t>
      </w:r>
      <w:r w:rsidR="00F167B2" w:rsidRPr="00A139CE">
        <w:rPr>
          <w:bCs/>
          <w:color w:val="000000"/>
          <w:sz w:val="22"/>
          <w:szCs w:val="22"/>
        </w:rPr>
        <w:t xml:space="preserve"> </w:t>
      </w:r>
      <w:r w:rsidR="00A169D0" w:rsidRPr="00A139CE">
        <w:rPr>
          <w:bCs/>
          <w:color w:val="000000"/>
          <w:sz w:val="22"/>
          <w:szCs w:val="22"/>
        </w:rPr>
        <w:t>polymorphes de taille et de densité.</w:t>
      </w:r>
    </w:p>
    <w:p w:rsidR="001A64D2" w:rsidRPr="00A139CE" w:rsidRDefault="001A64D2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Revêtement cutané fin et régulier.</w:t>
      </w:r>
    </w:p>
    <w:p w:rsidR="001A64D2" w:rsidRPr="00A139CE" w:rsidRDefault="001A64D2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Deux adénopathies axillaires gauches.</w:t>
      </w:r>
    </w:p>
    <w:p w:rsidR="001A64D2" w:rsidRPr="00A139CE" w:rsidRDefault="001A64D2" w:rsidP="00DB4B67">
      <w:pPr>
        <w:rPr>
          <w:b/>
          <w:i/>
          <w:iCs/>
          <w:color w:val="000000"/>
          <w:sz w:val="22"/>
          <w:szCs w:val="22"/>
          <w:u w:val="single"/>
        </w:rPr>
      </w:pPr>
      <w:r w:rsidRPr="00A139CE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A139CE" w:rsidRDefault="0096769E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Absence de désorganisation architecturale.</w:t>
      </w:r>
    </w:p>
    <w:p w:rsidR="0096769E" w:rsidRPr="00A139CE" w:rsidRDefault="0096769E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Absence de signal calcique à caractère péjoratif.</w:t>
      </w:r>
    </w:p>
    <w:p w:rsidR="00BF513C" w:rsidRPr="00A139CE" w:rsidRDefault="00E81149" w:rsidP="00C41FFE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</w:t>
      </w:r>
      <w:r w:rsidRPr="00A139CE">
        <w:rPr>
          <w:bCs/>
          <w:color w:val="000000"/>
          <w:sz w:val="22"/>
          <w:szCs w:val="22"/>
        </w:rPr>
        <w:t>icrocalcifications</w:t>
      </w:r>
      <w:r w:rsidR="00BF513C" w:rsidRPr="00A139CE">
        <w:rPr>
          <w:bCs/>
          <w:color w:val="000000"/>
          <w:sz w:val="22"/>
          <w:szCs w:val="22"/>
        </w:rPr>
        <w:t xml:space="preserve"> ponctiformes éparses, sans caractère péjoratif </w:t>
      </w:r>
      <w:r w:rsidR="00C41FFE">
        <w:rPr>
          <w:bCs/>
          <w:color w:val="000000"/>
          <w:sz w:val="22"/>
          <w:szCs w:val="22"/>
        </w:rPr>
        <w:t>éparses</w:t>
      </w:r>
      <w:r w:rsidR="00BF513C" w:rsidRPr="00A139CE">
        <w:rPr>
          <w:bCs/>
          <w:color w:val="000000"/>
          <w:sz w:val="22"/>
          <w:szCs w:val="22"/>
        </w:rPr>
        <w:t>.</w:t>
      </w:r>
    </w:p>
    <w:p w:rsidR="0096769E" w:rsidRPr="00A139CE" w:rsidRDefault="0096769E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Revêtement cutané fin et régulier.</w:t>
      </w:r>
    </w:p>
    <w:p w:rsidR="0096769E" w:rsidRPr="00A139CE" w:rsidRDefault="00BF513C" w:rsidP="00DB4B67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 xml:space="preserve">Adénomégalie </w:t>
      </w:r>
      <w:r w:rsidR="0096769E" w:rsidRPr="00A139CE">
        <w:rPr>
          <w:bCs/>
          <w:color w:val="000000"/>
          <w:sz w:val="22"/>
          <w:szCs w:val="22"/>
        </w:rPr>
        <w:t xml:space="preserve">axillaire </w:t>
      </w:r>
      <w:r w:rsidRPr="00A139CE">
        <w:rPr>
          <w:bCs/>
          <w:color w:val="000000"/>
          <w:sz w:val="22"/>
          <w:szCs w:val="22"/>
        </w:rPr>
        <w:t>droite</w:t>
      </w:r>
      <w:r w:rsidR="0096769E" w:rsidRPr="00A139CE">
        <w:rPr>
          <w:bCs/>
          <w:color w:val="000000"/>
          <w:sz w:val="22"/>
          <w:szCs w:val="22"/>
        </w:rPr>
        <w:t>, à centre graisseux d’adiponécrose.</w:t>
      </w:r>
    </w:p>
    <w:p w:rsidR="0096769E" w:rsidRPr="00A139CE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A139CE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A139CE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F166AF" w:rsidRPr="00A139CE" w:rsidRDefault="00F166AF" w:rsidP="005D11BA">
      <w:pPr>
        <w:rPr>
          <w:b/>
          <w:i/>
          <w:iCs/>
          <w:color w:val="000000"/>
          <w:sz w:val="22"/>
          <w:szCs w:val="22"/>
          <w:u w:val="single"/>
        </w:rPr>
      </w:pPr>
      <w:r w:rsidRPr="00A139CE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45682B" w:rsidRPr="00A139CE" w:rsidRDefault="00C41FFE" w:rsidP="00C41FFE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Multiples</w:t>
      </w:r>
      <w:r w:rsidR="00F166AF" w:rsidRPr="00A139CE">
        <w:rPr>
          <w:bCs/>
          <w:color w:val="000000"/>
          <w:sz w:val="22"/>
          <w:szCs w:val="22"/>
        </w:rPr>
        <w:t xml:space="preserve"> </w:t>
      </w:r>
      <w:r w:rsidR="00CA063C" w:rsidRPr="00A139CE">
        <w:rPr>
          <w:bCs/>
          <w:color w:val="000000"/>
          <w:sz w:val="22"/>
          <w:szCs w:val="22"/>
        </w:rPr>
        <w:t>masse</w:t>
      </w:r>
      <w:r w:rsidR="005D11BA" w:rsidRPr="00A139CE">
        <w:rPr>
          <w:bCs/>
          <w:color w:val="000000"/>
          <w:sz w:val="22"/>
          <w:szCs w:val="22"/>
        </w:rPr>
        <w:t>s</w:t>
      </w:r>
      <w:r w:rsidR="00CA063C" w:rsidRPr="00A139CE">
        <w:rPr>
          <w:bCs/>
          <w:color w:val="000000"/>
          <w:sz w:val="22"/>
          <w:szCs w:val="22"/>
        </w:rPr>
        <w:t xml:space="preserve"> </w:t>
      </w:r>
      <w:r w:rsidR="005D11BA" w:rsidRPr="00A139CE">
        <w:rPr>
          <w:bCs/>
          <w:color w:val="000000"/>
          <w:sz w:val="22"/>
          <w:szCs w:val="22"/>
        </w:rPr>
        <w:t xml:space="preserve">du QSE </w:t>
      </w:r>
      <w:r w:rsidR="00CA063C" w:rsidRPr="00A139CE">
        <w:rPr>
          <w:bCs/>
          <w:color w:val="000000"/>
          <w:sz w:val="22"/>
          <w:szCs w:val="22"/>
        </w:rPr>
        <w:t>hypoéchogène</w:t>
      </w:r>
      <w:r w:rsidR="005D11BA" w:rsidRPr="00A139CE">
        <w:rPr>
          <w:bCs/>
          <w:color w:val="000000"/>
          <w:sz w:val="22"/>
          <w:szCs w:val="22"/>
        </w:rPr>
        <w:t>s</w:t>
      </w:r>
      <w:r w:rsidR="00CA063C" w:rsidRPr="00A139CE">
        <w:rPr>
          <w:bCs/>
          <w:color w:val="000000"/>
          <w:sz w:val="22"/>
          <w:szCs w:val="22"/>
        </w:rPr>
        <w:t xml:space="preserve"> hétérogène</w:t>
      </w:r>
      <w:r w:rsidR="005D11BA" w:rsidRPr="00A139CE">
        <w:rPr>
          <w:bCs/>
          <w:color w:val="000000"/>
          <w:sz w:val="22"/>
          <w:szCs w:val="22"/>
        </w:rPr>
        <w:t>s</w:t>
      </w:r>
      <w:r w:rsidR="00CA063C" w:rsidRPr="00A139CE">
        <w:rPr>
          <w:bCs/>
          <w:color w:val="000000"/>
          <w:sz w:val="22"/>
          <w:szCs w:val="22"/>
        </w:rPr>
        <w:t>, mal circonscrite</w:t>
      </w:r>
      <w:r w:rsidR="005D11BA" w:rsidRPr="00A139CE">
        <w:rPr>
          <w:bCs/>
          <w:color w:val="000000"/>
          <w:sz w:val="22"/>
          <w:szCs w:val="22"/>
        </w:rPr>
        <w:t>s</w:t>
      </w:r>
      <w:r w:rsidR="00CA063C" w:rsidRPr="00A139CE">
        <w:rPr>
          <w:bCs/>
          <w:color w:val="000000"/>
          <w:sz w:val="22"/>
          <w:szCs w:val="22"/>
        </w:rPr>
        <w:t>, aux contours spiculés, a</w:t>
      </w:r>
      <w:r>
        <w:rPr>
          <w:bCs/>
          <w:color w:val="000000"/>
          <w:sz w:val="22"/>
          <w:szCs w:val="22"/>
        </w:rPr>
        <w:t>ux</w:t>
      </w:r>
      <w:r w:rsidR="00CA063C" w:rsidRPr="00A139CE">
        <w:rPr>
          <w:bCs/>
          <w:color w:val="000000"/>
          <w:sz w:val="22"/>
          <w:szCs w:val="22"/>
        </w:rPr>
        <w:t xml:space="preserve"> grand axe </w:t>
      </w:r>
      <w:r>
        <w:rPr>
          <w:bCs/>
          <w:color w:val="000000"/>
          <w:sz w:val="22"/>
          <w:szCs w:val="22"/>
        </w:rPr>
        <w:t>verticaux</w:t>
      </w:r>
      <w:r w:rsidR="00CA063C" w:rsidRPr="00A139CE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mais confluentes à l’IRM mammaire, dont la taille a été estimées de façon plus fiable à l’IRM.</w:t>
      </w:r>
    </w:p>
    <w:p w:rsidR="003A01A4" w:rsidRPr="00A139CE" w:rsidRDefault="00A52C29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 xml:space="preserve">Système canalaire discrètement dilaté, estimé à </w:t>
      </w:r>
      <w:r w:rsidR="003A01A4" w:rsidRPr="00A139CE">
        <w:rPr>
          <w:bCs/>
          <w:color w:val="000000"/>
          <w:sz w:val="22"/>
          <w:szCs w:val="22"/>
        </w:rPr>
        <w:t>3 mm de calibre.</w:t>
      </w:r>
    </w:p>
    <w:p w:rsidR="000B4382" w:rsidRPr="00A139CE" w:rsidRDefault="003A01A4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Deux adénopathies axillaires gauches de morphologie conservée, estimées à 9</w:t>
      </w:r>
      <w:r w:rsidR="00A20FC2" w:rsidRPr="00A139CE">
        <w:rPr>
          <w:bCs/>
          <w:color w:val="000000"/>
          <w:sz w:val="22"/>
          <w:szCs w:val="22"/>
        </w:rPr>
        <w:t>x4,6 mm et 10x4 mm.</w:t>
      </w:r>
    </w:p>
    <w:p w:rsidR="000B4382" w:rsidRPr="00A139CE" w:rsidRDefault="000B4382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Multiples cônes d’ombre au niveau du QSInt.</w:t>
      </w:r>
    </w:p>
    <w:p w:rsidR="000B4382" w:rsidRPr="00A139CE" w:rsidRDefault="000B4382" w:rsidP="005D11BA">
      <w:pPr>
        <w:rPr>
          <w:b/>
          <w:i/>
          <w:iCs/>
          <w:color w:val="000000"/>
          <w:sz w:val="22"/>
          <w:szCs w:val="22"/>
          <w:u w:val="single"/>
        </w:rPr>
      </w:pPr>
      <w:r w:rsidRPr="00A139CE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0B4382" w:rsidRPr="00A139CE" w:rsidRDefault="000B4382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Absence de syndrome de masse solide ou kystique.</w:t>
      </w:r>
    </w:p>
    <w:p w:rsidR="000B4382" w:rsidRPr="00A139CE" w:rsidRDefault="000B4382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Ectasie canalaire estimée à 9,6 mm de calibre</w:t>
      </w:r>
      <w:r w:rsidR="00C41FFE">
        <w:rPr>
          <w:bCs/>
          <w:color w:val="000000"/>
          <w:sz w:val="22"/>
          <w:szCs w:val="22"/>
        </w:rPr>
        <w:t>, au contenu transonore et parois fines</w:t>
      </w:r>
      <w:r w:rsidRPr="00A139CE">
        <w:rPr>
          <w:bCs/>
          <w:color w:val="000000"/>
          <w:sz w:val="22"/>
          <w:szCs w:val="22"/>
        </w:rPr>
        <w:t>.</w:t>
      </w:r>
    </w:p>
    <w:p w:rsidR="000B4382" w:rsidRPr="00A139CE" w:rsidRDefault="000B4382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Revêtement cutané fin et régulier.</w:t>
      </w:r>
    </w:p>
    <w:p w:rsidR="000B4382" w:rsidRPr="00A139CE" w:rsidRDefault="000B4382" w:rsidP="005D11BA">
      <w:pPr>
        <w:rPr>
          <w:bCs/>
          <w:color w:val="000000"/>
          <w:sz w:val="22"/>
          <w:szCs w:val="22"/>
        </w:rPr>
      </w:pPr>
      <w:r w:rsidRPr="00A139CE">
        <w:rPr>
          <w:bCs/>
          <w:color w:val="000000"/>
          <w:sz w:val="22"/>
          <w:szCs w:val="22"/>
        </w:rPr>
        <w:t>Ganglion axillaire droit à hile hyperéchogène et cortex fin hypoéchogène, estimé à 9,9x6 mm.</w:t>
      </w:r>
    </w:p>
    <w:p w:rsidR="0096769E" w:rsidRPr="00A139CE" w:rsidRDefault="0096769E" w:rsidP="0096769E">
      <w:pPr>
        <w:rPr>
          <w:bCs/>
          <w:color w:val="000000"/>
          <w:sz w:val="16"/>
          <w:szCs w:val="16"/>
        </w:rPr>
      </w:pPr>
    </w:p>
    <w:p w:rsidR="0096769E" w:rsidRPr="00A139CE" w:rsidRDefault="002945D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A139CE">
        <w:rPr>
          <w:b/>
          <w:bCs/>
          <w:color w:val="000000"/>
          <w:sz w:val="22"/>
          <w:szCs w:val="22"/>
          <w:u w:val="single"/>
        </w:rPr>
        <w:t>CONCLUSION :</w:t>
      </w:r>
    </w:p>
    <w:p w:rsidR="00327D38" w:rsidRPr="00A139CE" w:rsidRDefault="005D11B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A139CE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A139CE">
        <w:rPr>
          <w:b/>
          <w:bCs/>
          <w:i/>
          <w:color w:val="000000"/>
          <w:sz w:val="22"/>
          <w:szCs w:val="22"/>
        </w:rPr>
        <w:t>Mammographie bilatérale et échographie mammaire</w:t>
      </w:r>
      <w:r w:rsidR="00327D38" w:rsidRPr="00A139CE">
        <w:rPr>
          <w:b/>
          <w:bCs/>
          <w:i/>
          <w:color w:val="000000"/>
          <w:sz w:val="22"/>
          <w:szCs w:val="22"/>
        </w:rPr>
        <w:t xml:space="preserve"> en faveur de multiples masse</w:t>
      </w:r>
      <w:r w:rsidR="00A139CE" w:rsidRPr="00A139CE">
        <w:rPr>
          <w:b/>
          <w:bCs/>
          <w:i/>
          <w:color w:val="000000"/>
          <w:sz w:val="22"/>
          <w:szCs w:val="22"/>
        </w:rPr>
        <w:t>s</w:t>
      </w:r>
      <w:r w:rsidR="00327D38" w:rsidRPr="00A139CE">
        <w:rPr>
          <w:b/>
          <w:bCs/>
          <w:i/>
          <w:color w:val="000000"/>
          <w:sz w:val="22"/>
          <w:szCs w:val="22"/>
        </w:rPr>
        <w:t xml:space="preserve"> du QSE gauche</w:t>
      </w:r>
      <w:r w:rsidR="00C41FFE">
        <w:rPr>
          <w:b/>
          <w:bCs/>
          <w:i/>
          <w:color w:val="000000"/>
          <w:sz w:val="22"/>
          <w:szCs w:val="22"/>
        </w:rPr>
        <w:t xml:space="preserve"> confluentes</w:t>
      </w:r>
      <w:r w:rsidR="00327D38" w:rsidRPr="00A139CE">
        <w:rPr>
          <w:b/>
          <w:bCs/>
          <w:i/>
          <w:color w:val="000000"/>
          <w:sz w:val="22"/>
          <w:szCs w:val="22"/>
        </w:rPr>
        <w:t xml:space="preserve"> </w:t>
      </w:r>
      <w:r w:rsidR="00E81149">
        <w:rPr>
          <w:b/>
          <w:bCs/>
          <w:i/>
          <w:color w:val="000000"/>
          <w:sz w:val="22"/>
          <w:szCs w:val="22"/>
        </w:rPr>
        <w:t xml:space="preserve">étiquetées malignes </w:t>
      </w:r>
      <w:r w:rsidR="00327D38" w:rsidRPr="00A139CE">
        <w:rPr>
          <w:b/>
          <w:bCs/>
          <w:i/>
          <w:color w:val="000000"/>
          <w:sz w:val="22"/>
          <w:szCs w:val="22"/>
        </w:rPr>
        <w:t xml:space="preserve">associées à des </w:t>
      </w:r>
      <w:r w:rsidR="00E81149" w:rsidRPr="00A139CE">
        <w:rPr>
          <w:b/>
          <w:bCs/>
          <w:i/>
          <w:color w:val="000000"/>
          <w:sz w:val="22"/>
          <w:szCs w:val="22"/>
        </w:rPr>
        <w:t>microcalcifications</w:t>
      </w:r>
      <w:r w:rsidR="00327D38" w:rsidRPr="00A139CE">
        <w:rPr>
          <w:b/>
          <w:bCs/>
          <w:i/>
          <w:color w:val="000000"/>
          <w:sz w:val="22"/>
          <w:szCs w:val="22"/>
        </w:rPr>
        <w:t xml:space="preserve"> de type polymorphe </w:t>
      </w:r>
      <w:r w:rsidR="00181CC6" w:rsidRPr="00A139CE">
        <w:rPr>
          <w:b/>
          <w:bCs/>
          <w:i/>
          <w:color w:val="000000"/>
          <w:sz w:val="22"/>
          <w:szCs w:val="22"/>
        </w:rPr>
        <w:t>ainsi que deux adénopathies axillaires homolatérales</w:t>
      </w:r>
      <w:r w:rsidR="00E81149">
        <w:rPr>
          <w:b/>
          <w:bCs/>
          <w:i/>
          <w:color w:val="000000"/>
          <w:sz w:val="22"/>
          <w:szCs w:val="22"/>
        </w:rPr>
        <w:t xml:space="preserve"> de morphologie conservée</w:t>
      </w:r>
      <w:r w:rsidR="00181CC6" w:rsidRPr="00A139CE">
        <w:rPr>
          <w:b/>
          <w:bCs/>
          <w:i/>
          <w:color w:val="000000"/>
          <w:sz w:val="22"/>
          <w:szCs w:val="22"/>
        </w:rPr>
        <w:t>.</w:t>
      </w:r>
    </w:p>
    <w:p w:rsidR="00181CC6" w:rsidRDefault="00D740D4" w:rsidP="00181CC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A139CE">
        <w:rPr>
          <w:b/>
          <w:bCs/>
          <w:i/>
          <w:color w:val="000000"/>
          <w:sz w:val="22"/>
          <w:szCs w:val="22"/>
        </w:rPr>
        <w:t xml:space="preserve"> </w:t>
      </w:r>
      <w:r w:rsidR="00181CC6" w:rsidRPr="00A139CE">
        <w:rPr>
          <w:b/>
          <w:bCs/>
          <w:i/>
          <w:color w:val="000000"/>
          <w:sz w:val="22"/>
          <w:szCs w:val="22"/>
        </w:rPr>
        <w:t>Examen classé</w:t>
      </w:r>
      <w:r w:rsidR="00E81149">
        <w:rPr>
          <w:b/>
          <w:bCs/>
          <w:i/>
          <w:color w:val="000000"/>
          <w:sz w:val="22"/>
          <w:szCs w:val="22"/>
        </w:rPr>
        <w:t xml:space="preserve"> BI-RADS6 </w:t>
      </w:r>
      <w:r w:rsidR="0096769E" w:rsidRPr="00A139CE">
        <w:rPr>
          <w:b/>
          <w:bCs/>
          <w:i/>
          <w:color w:val="000000"/>
          <w:sz w:val="22"/>
          <w:szCs w:val="22"/>
        </w:rPr>
        <w:t xml:space="preserve"> de l’ACR </w:t>
      </w:r>
      <w:r w:rsidR="00181CC6" w:rsidRPr="00A139CE">
        <w:rPr>
          <w:b/>
          <w:bCs/>
          <w:i/>
          <w:color w:val="000000"/>
          <w:sz w:val="22"/>
          <w:szCs w:val="22"/>
        </w:rPr>
        <w:t>à gauche et BI-RADS 2 de l'ACR à droite en raison de quelques micro-calcifications éparses sans caractère péjoratif.</w:t>
      </w:r>
    </w:p>
    <w:p w:rsidR="00E81149" w:rsidRPr="00A139CE" w:rsidRDefault="00E81149" w:rsidP="00181CC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</w:p>
    <w:p w:rsidR="00A139CE" w:rsidRPr="00A139CE" w:rsidRDefault="00EB2A23">
      <w:pPr>
        <w:pStyle w:val="Heading3"/>
        <w:rPr>
          <w:i/>
          <w:iCs/>
          <w:sz w:val="16"/>
          <w:szCs w:val="16"/>
        </w:rPr>
      </w:pPr>
      <w:r w:rsidRPr="00A139CE">
        <w:rPr>
          <w:i/>
          <w:iCs/>
          <w:sz w:val="16"/>
          <w:szCs w:val="16"/>
        </w:rPr>
        <w:t xml:space="preserve">    </w:t>
      </w:r>
    </w:p>
    <w:sectPr w:rsidR="00A139CE" w:rsidRPr="00A139C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B0" w:rsidRDefault="005105B0" w:rsidP="00FF41A6">
      <w:r>
        <w:separator/>
      </w:r>
    </w:p>
  </w:endnote>
  <w:endnote w:type="continuationSeparator" w:id="0">
    <w:p w:rsidR="005105B0" w:rsidRDefault="005105B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FFE" w:rsidRDefault="00C41FFE" w:rsidP="00F515B5">
    <w:pPr>
      <w:jc w:val="center"/>
      <w:rPr>
        <w:rFonts w:eastAsia="Calibri"/>
        <w:i/>
        <w:iCs/>
        <w:sz w:val="18"/>
        <w:szCs w:val="18"/>
      </w:rPr>
    </w:pPr>
  </w:p>
  <w:p w:rsidR="00C41FFE" w:rsidRDefault="00C41FFE" w:rsidP="00F515B5">
    <w:pPr>
      <w:tabs>
        <w:tab w:val="center" w:pos="4536"/>
        <w:tab w:val="right" w:pos="9072"/>
      </w:tabs>
      <w:jc w:val="center"/>
    </w:pPr>
  </w:p>
  <w:p w:rsidR="00C41FFE" w:rsidRPr="00F515B5" w:rsidRDefault="00C41FF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B0" w:rsidRDefault="005105B0" w:rsidP="00FF41A6">
      <w:r>
        <w:separator/>
      </w:r>
    </w:p>
  </w:footnote>
  <w:footnote w:type="continuationSeparator" w:id="0">
    <w:p w:rsidR="005105B0" w:rsidRDefault="005105B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FFE" w:rsidRDefault="00C41FF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41FFE" w:rsidRPr="00426781" w:rsidRDefault="00C41FFE" w:rsidP="00FF41A6">
    <w:pPr>
      <w:pStyle w:val="NoSpacing"/>
      <w:jc w:val="center"/>
      <w:rPr>
        <w:rFonts w:ascii="Tw Cen MT" w:hAnsi="Tw Cen MT"/>
      </w:rPr>
    </w:pPr>
  </w:p>
  <w:p w:rsidR="00C41FFE" w:rsidRDefault="00C41FFE" w:rsidP="00FF41A6">
    <w:pPr>
      <w:pStyle w:val="NoSpacing"/>
      <w:jc w:val="center"/>
      <w:rPr>
        <w:rFonts w:ascii="Tw Cen MT" w:hAnsi="Tw Cen MT"/>
      </w:rPr>
    </w:pPr>
  </w:p>
  <w:p w:rsidR="00C41FFE" w:rsidRPr="00D104DB" w:rsidRDefault="00C41FFE" w:rsidP="00FF41A6">
    <w:pPr>
      <w:pStyle w:val="NoSpacing"/>
      <w:jc w:val="center"/>
      <w:rPr>
        <w:sz w:val="16"/>
        <w:szCs w:val="16"/>
      </w:rPr>
    </w:pPr>
  </w:p>
  <w:p w:rsidR="00C41FFE" w:rsidRDefault="00C41FF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4382"/>
    <w:rsid w:val="000B7A8F"/>
    <w:rsid w:val="000D409F"/>
    <w:rsid w:val="00136EEF"/>
    <w:rsid w:val="00170174"/>
    <w:rsid w:val="00181CC6"/>
    <w:rsid w:val="00195B8F"/>
    <w:rsid w:val="001A64D2"/>
    <w:rsid w:val="00266C96"/>
    <w:rsid w:val="002945DC"/>
    <w:rsid w:val="002B58CC"/>
    <w:rsid w:val="00320AF6"/>
    <w:rsid w:val="00327D38"/>
    <w:rsid w:val="003313E3"/>
    <w:rsid w:val="00397A26"/>
    <w:rsid w:val="003A01A4"/>
    <w:rsid w:val="004038CE"/>
    <w:rsid w:val="00413297"/>
    <w:rsid w:val="0045682B"/>
    <w:rsid w:val="004568DE"/>
    <w:rsid w:val="00483B47"/>
    <w:rsid w:val="00487E9D"/>
    <w:rsid w:val="004E1488"/>
    <w:rsid w:val="005018C7"/>
    <w:rsid w:val="005105B0"/>
    <w:rsid w:val="0055089C"/>
    <w:rsid w:val="005D11BA"/>
    <w:rsid w:val="00611215"/>
    <w:rsid w:val="00655E4C"/>
    <w:rsid w:val="006925A3"/>
    <w:rsid w:val="006A5983"/>
    <w:rsid w:val="006E396B"/>
    <w:rsid w:val="0070486C"/>
    <w:rsid w:val="007571A5"/>
    <w:rsid w:val="007F2AFE"/>
    <w:rsid w:val="008B1520"/>
    <w:rsid w:val="00915587"/>
    <w:rsid w:val="0094387A"/>
    <w:rsid w:val="0096769E"/>
    <w:rsid w:val="009D0162"/>
    <w:rsid w:val="00A11F2B"/>
    <w:rsid w:val="00A139CE"/>
    <w:rsid w:val="00A169D0"/>
    <w:rsid w:val="00A20FC2"/>
    <w:rsid w:val="00A52C29"/>
    <w:rsid w:val="00A627F7"/>
    <w:rsid w:val="00A76F00"/>
    <w:rsid w:val="00AB3DCA"/>
    <w:rsid w:val="00AF6EEF"/>
    <w:rsid w:val="00B00E2E"/>
    <w:rsid w:val="00B00E86"/>
    <w:rsid w:val="00B05B03"/>
    <w:rsid w:val="00B511D7"/>
    <w:rsid w:val="00B625CF"/>
    <w:rsid w:val="00B75A57"/>
    <w:rsid w:val="00B97D70"/>
    <w:rsid w:val="00BB7310"/>
    <w:rsid w:val="00BC18CE"/>
    <w:rsid w:val="00BE1C55"/>
    <w:rsid w:val="00BF1A67"/>
    <w:rsid w:val="00BF513C"/>
    <w:rsid w:val="00C41FFE"/>
    <w:rsid w:val="00C7676D"/>
    <w:rsid w:val="00CA063C"/>
    <w:rsid w:val="00CD057F"/>
    <w:rsid w:val="00D159C3"/>
    <w:rsid w:val="00D740D4"/>
    <w:rsid w:val="00DB4B67"/>
    <w:rsid w:val="00DC7E65"/>
    <w:rsid w:val="00DE3E17"/>
    <w:rsid w:val="00DF6982"/>
    <w:rsid w:val="00E25639"/>
    <w:rsid w:val="00E31EF8"/>
    <w:rsid w:val="00E81149"/>
    <w:rsid w:val="00EB2A23"/>
    <w:rsid w:val="00EE4ACF"/>
    <w:rsid w:val="00F166AF"/>
    <w:rsid w:val="00F167B2"/>
    <w:rsid w:val="00F45755"/>
    <w:rsid w:val="00F515B5"/>
    <w:rsid w:val="00F7627E"/>
    <w:rsid w:val="00FB18E1"/>
    <w:rsid w:val="00FE49F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0E889-905D-417A-8594-1E21456C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