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10489" w:rsidP="0037144C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12F72" w:rsidRDefault="00832AA0" w:rsidP="00A12F72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pat-377 41 ANS </w:t>
      </w:r>
    </w:p>
    <w:p w:rsidR="00A12F72" w:rsidRPr="00A12F72" w:rsidRDefault="00A12F72" w:rsidP="00A12F72">
      <w:pPr>
        <w:jc w:val="right"/>
        <w:rPr>
          <w:sz w:val="14"/>
          <w:szCs w:val="14"/>
        </w:rPr>
      </w:pPr>
    </w:p>
    <w:p w:rsidR="004F3BD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1048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4F3BD2" w:rsidRDefault="004F3BD2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974C28" w:rsidRDefault="00974C28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deux masses de forme lob</w:t>
      </w:r>
      <w:r w:rsidR="0037144C">
        <w:rPr>
          <w:bCs/>
          <w:color w:val="000000"/>
          <w:sz w:val="24"/>
        </w:rPr>
        <w:t xml:space="preserve">ulée aux contours circonscrits, </w:t>
      </w:r>
      <w:r>
        <w:rPr>
          <w:bCs/>
          <w:color w:val="000000"/>
          <w:sz w:val="24"/>
        </w:rPr>
        <w:t>homogènes, sans micro-calcifications en leur sein, siégeant au niveau du QSE droit et QSI gauche.</w:t>
      </w:r>
    </w:p>
    <w:p w:rsidR="00974C28" w:rsidRDefault="00974C28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opacité ganglionnaire du QSE droit.</w:t>
      </w:r>
    </w:p>
    <w:p w:rsidR="00A90B0A" w:rsidRDefault="00974C28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régulières bilatérales.</w:t>
      </w:r>
    </w:p>
    <w:p w:rsidR="00A90B0A" w:rsidRDefault="00A90B0A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12F72" w:rsidRDefault="007644F1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deux masses de forme lobulée, aux contours circonscrits, hyp</w:t>
      </w:r>
      <w:r w:rsidR="00A12F72">
        <w:rPr>
          <w:bCs/>
          <w:color w:val="000000"/>
          <w:sz w:val="24"/>
        </w:rPr>
        <w:t>oéchogènes homogènes, siégeant et mesurant comme suit :</w:t>
      </w:r>
    </w:p>
    <w:p w:rsidR="0037144C" w:rsidRPr="0037144C" w:rsidRDefault="0037144C" w:rsidP="0037144C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7144C">
        <w:rPr>
          <w:b/>
          <w:i/>
          <w:iCs/>
          <w:color w:val="000000"/>
          <w:sz w:val="24"/>
        </w:rPr>
        <w:t>QSE droit : 10.6mm.</w:t>
      </w:r>
    </w:p>
    <w:p w:rsidR="0037144C" w:rsidRPr="0037144C" w:rsidRDefault="0037144C" w:rsidP="0037144C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7144C">
        <w:rPr>
          <w:b/>
          <w:i/>
          <w:iCs/>
          <w:color w:val="000000"/>
          <w:sz w:val="24"/>
        </w:rPr>
        <w:t>QSI gauche :</w:t>
      </w:r>
      <w:r>
        <w:rPr>
          <w:b/>
          <w:i/>
          <w:iCs/>
          <w:color w:val="000000"/>
          <w:sz w:val="24"/>
        </w:rPr>
        <w:t xml:space="preserve"> </w:t>
      </w:r>
      <w:r w:rsidRPr="0037144C">
        <w:rPr>
          <w:b/>
          <w:i/>
          <w:iCs/>
          <w:color w:val="000000"/>
          <w:sz w:val="24"/>
        </w:rPr>
        <w:t>12.4mm.</w:t>
      </w:r>
    </w:p>
    <w:p w:rsidR="00A12F72" w:rsidRDefault="00A12F72" w:rsidP="00A12F72">
      <w:pPr>
        <w:rPr>
          <w:bCs/>
          <w:color w:val="000000"/>
          <w:sz w:val="24"/>
        </w:rPr>
      </w:pPr>
    </w:p>
    <w:p w:rsidR="00A90B0A" w:rsidRDefault="00A12F72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un ganglion intra-mammaire du QSE droit de morphologie conservée, mesurant </w:t>
      </w:r>
      <w:r w:rsidR="0037144C">
        <w:rPr>
          <w:bCs/>
          <w:color w:val="000000"/>
          <w:sz w:val="24"/>
        </w:rPr>
        <w:t>4.3mm.</w:t>
      </w:r>
    </w:p>
    <w:p w:rsidR="00A90B0A" w:rsidRDefault="00A90B0A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3714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1C6B" w:rsidRDefault="00A90B0A" w:rsidP="00A91C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12F72">
        <w:rPr>
          <w:b/>
          <w:bCs/>
          <w:i/>
          <w:color w:val="000000"/>
          <w:sz w:val="24"/>
        </w:rPr>
        <w:t>en faveur de masses mammaires bilatérales, de sémiologie bénigne, associé</w:t>
      </w:r>
      <w:r w:rsidR="0037144C">
        <w:rPr>
          <w:b/>
          <w:bCs/>
          <w:i/>
          <w:color w:val="000000"/>
          <w:sz w:val="24"/>
        </w:rPr>
        <w:t>es</w:t>
      </w:r>
      <w:r w:rsidR="00A12F72">
        <w:rPr>
          <w:b/>
          <w:bCs/>
          <w:i/>
          <w:color w:val="000000"/>
          <w:sz w:val="24"/>
        </w:rPr>
        <w:t xml:space="preserve"> à un ganglion intra-mammaire droit.</w:t>
      </w:r>
    </w:p>
    <w:p w:rsidR="00A90B0A" w:rsidRDefault="00A90B0A" w:rsidP="00A91C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A91C6B">
        <w:rPr>
          <w:b/>
          <w:bCs/>
          <w:i/>
          <w:color w:val="000000"/>
          <w:sz w:val="24"/>
        </w:rPr>
        <w:t xml:space="preserve">3 de l’ACR à droite comme à gauche. </w:t>
      </w:r>
    </w:p>
    <w:p w:rsidR="00EE4ACF" w:rsidRPr="005018C7" w:rsidRDefault="00A91C6B" w:rsidP="00A91C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04 à 06 mois.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410" w:rsidRDefault="00126410" w:rsidP="00FF41A6">
      <w:r>
        <w:separator/>
      </w:r>
    </w:p>
  </w:endnote>
  <w:endnote w:type="continuationSeparator" w:id="0">
    <w:p w:rsidR="00126410" w:rsidRDefault="0012641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44C" w:rsidRDefault="0037144C" w:rsidP="00F515B5">
    <w:pPr>
      <w:jc w:val="center"/>
      <w:rPr>
        <w:rFonts w:eastAsia="Calibri"/>
        <w:i/>
        <w:iCs/>
        <w:sz w:val="18"/>
        <w:szCs w:val="18"/>
      </w:rPr>
    </w:pPr>
  </w:p>
  <w:p w:rsidR="0037144C" w:rsidRDefault="0037144C" w:rsidP="00F515B5">
    <w:pPr>
      <w:tabs>
        <w:tab w:val="center" w:pos="4536"/>
        <w:tab w:val="right" w:pos="9072"/>
      </w:tabs>
      <w:jc w:val="center"/>
    </w:pPr>
  </w:p>
  <w:p w:rsidR="0037144C" w:rsidRPr="00F515B5" w:rsidRDefault="0037144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410" w:rsidRDefault="00126410" w:rsidP="00FF41A6">
      <w:r>
        <w:separator/>
      </w:r>
    </w:p>
  </w:footnote>
  <w:footnote w:type="continuationSeparator" w:id="0">
    <w:p w:rsidR="00126410" w:rsidRDefault="0012641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44C" w:rsidRDefault="0037144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7144C" w:rsidRPr="00426781" w:rsidRDefault="0037144C" w:rsidP="00FF41A6">
    <w:pPr>
      <w:pStyle w:val="NoSpacing"/>
      <w:jc w:val="center"/>
      <w:rPr>
        <w:rFonts w:ascii="Tw Cen MT" w:hAnsi="Tw Cen MT"/>
      </w:rPr>
    </w:pPr>
  </w:p>
  <w:p w:rsidR="0037144C" w:rsidRDefault="0037144C" w:rsidP="00FF41A6">
    <w:pPr>
      <w:pStyle w:val="NoSpacing"/>
      <w:jc w:val="center"/>
      <w:rPr>
        <w:rFonts w:ascii="Tw Cen MT" w:hAnsi="Tw Cen MT"/>
      </w:rPr>
    </w:pPr>
  </w:p>
  <w:p w:rsidR="0037144C" w:rsidRPr="00D104DB" w:rsidRDefault="0037144C" w:rsidP="00FF41A6">
    <w:pPr>
      <w:pStyle w:val="NoSpacing"/>
      <w:jc w:val="center"/>
      <w:rPr>
        <w:sz w:val="16"/>
        <w:szCs w:val="16"/>
      </w:rPr>
    </w:pPr>
  </w:p>
  <w:p w:rsidR="0037144C" w:rsidRDefault="0037144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6679"/>
    <w:multiLevelType w:val="hybridMultilevel"/>
    <w:tmpl w:val="DC507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10489"/>
    <w:rsid w:val="00126410"/>
    <w:rsid w:val="00136EEF"/>
    <w:rsid w:val="00266C96"/>
    <w:rsid w:val="00291FF6"/>
    <w:rsid w:val="002B58CC"/>
    <w:rsid w:val="00320AF6"/>
    <w:rsid w:val="0037144C"/>
    <w:rsid w:val="0038353D"/>
    <w:rsid w:val="003926B8"/>
    <w:rsid w:val="00397A26"/>
    <w:rsid w:val="004038CE"/>
    <w:rsid w:val="00413297"/>
    <w:rsid w:val="00425DD9"/>
    <w:rsid w:val="00483B47"/>
    <w:rsid w:val="00487E9D"/>
    <w:rsid w:val="004E0DFB"/>
    <w:rsid w:val="004E1488"/>
    <w:rsid w:val="004F3BD2"/>
    <w:rsid w:val="005018C7"/>
    <w:rsid w:val="0055089C"/>
    <w:rsid w:val="00642FD4"/>
    <w:rsid w:val="006925A3"/>
    <w:rsid w:val="006A5983"/>
    <w:rsid w:val="006E396B"/>
    <w:rsid w:val="007571A5"/>
    <w:rsid w:val="007644F1"/>
    <w:rsid w:val="007F2AFE"/>
    <w:rsid w:val="00832AA0"/>
    <w:rsid w:val="008B1520"/>
    <w:rsid w:val="00915587"/>
    <w:rsid w:val="00974C28"/>
    <w:rsid w:val="00991837"/>
    <w:rsid w:val="00A11F2B"/>
    <w:rsid w:val="00A12F72"/>
    <w:rsid w:val="00A76F00"/>
    <w:rsid w:val="00A90B0A"/>
    <w:rsid w:val="00A91C6B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272B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9EE624-18E4-466D-912F-25BE7404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