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6E195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80758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pat-392 42 ANS </w:t>
      </w:r>
    </w:p>
    <w:p w:rsidR="00EB2A23" w:rsidRPr="00477533" w:rsidRDefault="006E195E" w:rsidP="0047753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77533">
        <w:rPr>
          <w:b/>
          <w:i/>
          <w:iCs/>
          <w:color w:val="000000"/>
          <w:sz w:val="24"/>
        </w:rPr>
        <w:t>MAMMOGRAPHIE</w:t>
      </w:r>
      <w:r w:rsidR="00477533" w:rsidRPr="00477533">
        <w:rPr>
          <w:b/>
          <w:i/>
          <w:iCs/>
          <w:color w:val="000000"/>
          <w:sz w:val="24"/>
        </w:rPr>
        <w:t xml:space="preserve"> BILATERALE</w:t>
      </w:r>
      <w:r w:rsidR="00B335EA">
        <w:rPr>
          <w:b/>
          <w:i/>
          <w:iCs/>
          <w:color w:val="000000"/>
          <w:sz w:val="24"/>
        </w:rPr>
        <w:t>+TOMOSYNTHESE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335EA" w:rsidRDefault="00B335EA">
      <w:pPr>
        <w:rPr>
          <w:b/>
          <w:color w:val="000000"/>
          <w:sz w:val="24"/>
          <w:u w:val="single"/>
        </w:rPr>
      </w:pPr>
      <w:r w:rsidRPr="00B335EA">
        <w:rPr>
          <w:b/>
          <w:color w:val="000000"/>
          <w:sz w:val="24"/>
          <w:u w:val="single"/>
        </w:rPr>
        <w:t>INDICATION :</w:t>
      </w:r>
    </w:p>
    <w:p w:rsidR="00B335EA" w:rsidRPr="00B335EA" w:rsidRDefault="00B335EA">
      <w:pPr>
        <w:rPr>
          <w:bCs/>
          <w:color w:val="000000"/>
          <w:sz w:val="24"/>
        </w:rPr>
      </w:pPr>
      <w:r w:rsidRPr="00B335EA">
        <w:rPr>
          <w:bCs/>
          <w:color w:val="000000"/>
          <w:sz w:val="24"/>
        </w:rPr>
        <w:t>Ecoulement m</w:t>
      </w:r>
      <w:r w:rsidR="004932DE">
        <w:rPr>
          <w:bCs/>
          <w:color w:val="000000"/>
          <w:sz w:val="24"/>
        </w:rPr>
        <w:t>amelonnaire bilatérale provoqué</w:t>
      </w:r>
      <w:r w:rsidRPr="00B335EA">
        <w:rPr>
          <w:bCs/>
          <w:color w:val="000000"/>
          <w:sz w:val="24"/>
        </w:rPr>
        <w:t xml:space="preserve"> avec mastodynie droite.</w:t>
      </w:r>
    </w:p>
    <w:p w:rsidR="00B335EA" w:rsidRDefault="00B335EA">
      <w:pPr>
        <w:rPr>
          <w:b/>
          <w:color w:val="000000"/>
          <w:sz w:val="24"/>
        </w:rPr>
      </w:pPr>
    </w:p>
    <w:p w:rsidR="00EB2A23" w:rsidRPr="00477533" w:rsidRDefault="00EB2A23">
      <w:pPr>
        <w:rPr>
          <w:b/>
          <w:color w:val="000000"/>
          <w:sz w:val="24"/>
          <w:szCs w:val="24"/>
        </w:rPr>
      </w:pPr>
      <w:r w:rsidRPr="00477533">
        <w:rPr>
          <w:b/>
          <w:iCs/>
          <w:color w:val="000000"/>
          <w:sz w:val="24"/>
          <w:szCs w:val="24"/>
          <w:u w:val="single"/>
        </w:rPr>
        <w:t>RESULTATS</w:t>
      </w:r>
      <w:r w:rsidRPr="00477533">
        <w:rPr>
          <w:b/>
          <w:i/>
          <w:color w:val="000000"/>
          <w:sz w:val="24"/>
          <w:szCs w:val="24"/>
        </w:rPr>
        <w:t>:</w:t>
      </w:r>
      <w:r w:rsidRPr="00477533">
        <w:rPr>
          <w:b/>
          <w:color w:val="000000"/>
          <w:sz w:val="24"/>
          <w:szCs w:val="24"/>
        </w:rPr>
        <w:t xml:space="preserve"> </w:t>
      </w:r>
    </w:p>
    <w:p w:rsidR="00B32AB7" w:rsidRPr="00477533" w:rsidRDefault="00B32AB7" w:rsidP="00B32AB7">
      <w:pPr>
        <w:rPr>
          <w:bCs/>
          <w:color w:val="000000"/>
          <w:sz w:val="24"/>
          <w:szCs w:val="24"/>
        </w:rPr>
      </w:pPr>
    </w:p>
    <w:p w:rsidR="00B32AB7" w:rsidRPr="00477533" w:rsidRDefault="00B32AB7" w:rsidP="00B335EA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 xml:space="preserve">Seins </w:t>
      </w:r>
      <w:r w:rsidR="00B335EA">
        <w:rPr>
          <w:bCs/>
          <w:color w:val="000000"/>
          <w:sz w:val="24"/>
          <w:szCs w:val="24"/>
        </w:rPr>
        <w:t>denses hétérogènes</w:t>
      </w:r>
      <w:r w:rsidRPr="00477533">
        <w:rPr>
          <w:bCs/>
          <w:color w:val="000000"/>
          <w:sz w:val="24"/>
          <w:szCs w:val="24"/>
        </w:rPr>
        <w:t xml:space="preserve"> type </w:t>
      </w:r>
      <w:r w:rsidR="00B335EA">
        <w:rPr>
          <w:bCs/>
          <w:color w:val="000000"/>
          <w:sz w:val="24"/>
          <w:szCs w:val="24"/>
        </w:rPr>
        <w:t>c</w:t>
      </w:r>
      <w:r w:rsidRPr="00477533">
        <w:rPr>
          <w:bCs/>
          <w:color w:val="000000"/>
          <w:sz w:val="24"/>
          <w:szCs w:val="24"/>
        </w:rPr>
        <w:t xml:space="preserve"> de l’ACR.</w:t>
      </w:r>
    </w:p>
    <w:p w:rsidR="00B32AB7" w:rsidRPr="00477533" w:rsidRDefault="00B32AB7" w:rsidP="00881F00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 xml:space="preserve">Absence </w:t>
      </w:r>
      <w:r w:rsidR="00B335EA">
        <w:rPr>
          <w:bCs/>
          <w:color w:val="000000"/>
          <w:sz w:val="24"/>
          <w:szCs w:val="24"/>
        </w:rPr>
        <w:t xml:space="preserve">de syndrome de masse ou </w:t>
      </w:r>
      <w:r w:rsidRPr="00477533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>Absence de foyer de micro-calcifications péjoratif.</w:t>
      </w:r>
    </w:p>
    <w:p w:rsidR="00881F00" w:rsidRDefault="00881F00" w:rsidP="00881F0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éparses bilatérales bénignes.</w:t>
      </w:r>
    </w:p>
    <w:p w:rsidR="00B32AB7" w:rsidRPr="00477533" w:rsidRDefault="00881F00" w:rsidP="00881F0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surdensité focale visible en projection des quadrants internes du sein gauche se déconstruit en tomosynthèse et s’étale en oblique externe.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477533" w:rsidRDefault="00881F00" w:rsidP="00881F0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Image de ganglion intra-mammaire en projection du prolongement axillaire droit.</w:t>
      </w:r>
    </w:p>
    <w:p w:rsidR="00B32AB7" w:rsidRPr="00477533" w:rsidRDefault="00B32AB7" w:rsidP="00B32AB7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>Absence d’adénopathies axillaires.</w:t>
      </w:r>
    </w:p>
    <w:p w:rsidR="00B32AB7" w:rsidRPr="00477533" w:rsidRDefault="00B32AB7" w:rsidP="00B32AB7">
      <w:pPr>
        <w:rPr>
          <w:bCs/>
          <w:color w:val="000000"/>
          <w:sz w:val="24"/>
          <w:szCs w:val="24"/>
        </w:rPr>
      </w:pPr>
    </w:p>
    <w:p w:rsidR="00B32AB7" w:rsidRPr="00477533" w:rsidRDefault="00B32AB7" w:rsidP="0047753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47753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77533" w:rsidRPr="0047753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477533" w:rsidRDefault="00B32AB7" w:rsidP="00EA7A58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 xml:space="preserve">Absence </w:t>
      </w:r>
      <w:r w:rsidR="00EA7A58">
        <w:rPr>
          <w:bCs/>
          <w:color w:val="000000"/>
          <w:sz w:val="24"/>
          <w:szCs w:val="24"/>
        </w:rPr>
        <w:t xml:space="preserve">de syndrome </w:t>
      </w:r>
      <w:r w:rsidRPr="00477533">
        <w:rPr>
          <w:bCs/>
          <w:color w:val="000000"/>
          <w:sz w:val="24"/>
          <w:szCs w:val="24"/>
        </w:rPr>
        <w:t>de masse solide ou kystique</w:t>
      </w:r>
      <w:r w:rsidR="00EA7A58">
        <w:rPr>
          <w:bCs/>
          <w:color w:val="000000"/>
          <w:sz w:val="24"/>
          <w:szCs w:val="24"/>
        </w:rPr>
        <w:t xml:space="preserve"> suspecte</w:t>
      </w:r>
      <w:r w:rsidRPr="00477533">
        <w:rPr>
          <w:bCs/>
          <w:color w:val="000000"/>
          <w:sz w:val="24"/>
          <w:szCs w:val="24"/>
        </w:rPr>
        <w:t>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>Absence d’ombre acoustique pathologique.</w:t>
      </w:r>
    </w:p>
    <w:p w:rsidR="00225B8F" w:rsidRDefault="00225B8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micro-kystes si</w:t>
      </w:r>
      <w:r w:rsidR="0002233A">
        <w:rPr>
          <w:bCs/>
          <w:color w:val="000000"/>
          <w:sz w:val="24"/>
          <w:szCs w:val="24"/>
        </w:rPr>
        <w:t>mples éparses bilatéraux, situés et mesuré</w:t>
      </w:r>
      <w:r>
        <w:rPr>
          <w:bCs/>
          <w:color w:val="000000"/>
          <w:sz w:val="24"/>
          <w:szCs w:val="24"/>
        </w:rPr>
        <w:t>s comme suit :</w:t>
      </w:r>
    </w:p>
    <w:p w:rsidR="00225B8F" w:rsidRPr="0002233A" w:rsidRDefault="00225B8F" w:rsidP="0002233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2233A">
        <w:rPr>
          <w:bCs/>
          <w:i/>
          <w:iCs/>
          <w:color w:val="000000"/>
          <w:sz w:val="24"/>
          <w:szCs w:val="24"/>
        </w:rPr>
        <w:t>QSE gauche de 4,5 mm.</w:t>
      </w:r>
    </w:p>
    <w:p w:rsidR="00225B8F" w:rsidRPr="0002233A" w:rsidRDefault="00225B8F" w:rsidP="0002233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2233A">
        <w:rPr>
          <w:bCs/>
          <w:i/>
          <w:iCs/>
          <w:color w:val="000000"/>
          <w:sz w:val="24"/>
          <w:szCs w:val="24"/>
        </w:rPr>
        <w:t>QMS gauche de 4 mm.</w:t>
      </w:r>
    </w:p>
    <w:p w:rsidR="00225B8F" w:rsidRPr="0002233A" w:rsidRDefault="00225B8F" w:rsidP="0002233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2233A">
        <w:rPr>
          <w:bCs/>
          <w:i/>
          <w:iCs/>
          <w:color w:val="000000"/>
          <w:sz w:val="24"/>
          <w:szCs w:val="24"/>
        </w:rPr>
        <w:t>QSI gauche de 3 mm.</w:t>
      </w:r>
    </w:p>
    <w:p w:rsidR="00225B8F" w:rsidRPr="0002233A" w:rsidRDefault="00225B8F" w:rsidP="00B32AB7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02233A">
        <w:rPr>
          <w:bCs/>
          <w:i/>
          <w:iCs/>
          <w:color w:val="000000"/>
          <w:sz w:val="24"/>
          <w:szCs w:val="24"/>
        </w:rPr>
        <w:t>QSE droit de 3 mm.</w:t>
      </w:r>
    </w:p>
    <w:p w:rsidR="00225B8F" w:rsidRDefault="00225B8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Image de ganglion intra-mammaire d’aspect bénin du QSE du sein droit mesuré 4 mm.</w:t>
      </w:r>
    </w:p>
    <w:p w:rsidR="00B32AB7" w:rsidRPr="00477533" w:rsidRDefault="00225B8F" w:rsidP="00225B8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bilatérale, estimée 2,5 mm de diamètre maximal.</w:t>
      </w:r>
    </w:p>
    <w:p w:rsidR="00B32AB7" w:rsidRDefault="00225B8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477533" w:rsidRDefault="00225B8F" w:rsidP="00225B8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477533" w:rsidRDefault="00225B8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477533" w:rsidRDefault="00B32AB7" w:rsidP="00B32AB7">
      <w:pPr>
        <w:rPr>
          <w:bCs/>
          <w:color w:val="000000"/>
          <w:sz w:val="24"/>
          <w:szCs w:val="24"/>
        </w:rPr>
      </w:pPr>
    </w:p>
    <w:p w:rsidR="00B32AB7" w:rsidRPr="00477533" w:rsidRDefault="0047753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47753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77533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477533" w:rsidRDefault="00967558" w:rsidP="00225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47753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225B8F">
        <w:rPr>
          <w:b/>
          <w:bCs/>
          <w:i/>
          <w:color w:val="000000"/>
          <w:sz w:val="24"/>
          <w:szCs w:val="24"/>
        </w:rPr>
        <w:t>ne retrouvent pas de lésion péjorative décelable ce jour, en dehors de quelques micro-kystes simples éparses bilatéraux et d’une discrète ectasie c</w:t>
      </w:r>
      <w:r>
        <w:rPr>
          <w:b/>
          <w:bCs/>
          <w:i/>
          <w:color w:val="000000"/>
          <w:sz w:val="24"/>
          <w:szCs w:val="24"/>
        </w:rPr>
        <w:t>analaire rétro-aréolaire simple bilatérale.</w:t>
      </w:r>
    </w:p>
    <w:p w:rsidR="00B32AB7" w:rsidRPr="00477533" w:rsidRDefault="00967558" w:rsidP="00967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477533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B32AB7" w:rsidRPr="00477533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477533">
        <w:rPr>
          <w:b/>
          <w:bCs/>
          <w:i/>
          <w:color w:val="000000"/>
          <w:sz w:val="24"/>
          <w:szCs w:val="24"/>
        </w:rPr>
        <w:t>.</w:t>
      </w:r>
    </w:p>
    <w:p w:rsidR="00EB2A23" w:rsidRPr="00477533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477533">
        <w:rPr>
          <w:bCs/>
          <w:color w:val="000000"/>
          <w:sz w:val="24"/>
          <w:szCs w:val="24"/>
        </w:rPr>
        <w:t xml:space="preserve"> </w:t>
      </w:r>
    </w:p>
    <w:p w:rsidR="00EB2A23" w:rsidRPr="00477533" w:rsidRDefault="00EB2A23">
      <w:pPr>
        <w:rPr>
          <w:b/>
          <w:color w:val="000000"/>
          <w:sz w:val="24"/>
          <w:szCs w:val="24"/>
        </w:rPr>
      </w:pPr>
    </w:p>
    <w:p w:rsidR="00EB2A23" w:rsidRPr="00477533" w:rsidRDefault="00EB2A23">
      <w:pPr>
        <w:rPr>
          <w:sz w:val="24"/>
          <w:szCs w:val="24"/>
        </w:rPr>
      </w:pPr>
    </w:p>
    <w:p w:rsidR="00320AF6" w:rsidRPr="00477533" w:rsidRDefault="00320AF6">
      <w:pPr>
        <w:rPr>
          <w:sz w:val="24"/>
          <w:szCs w:val="24"/>
        </w:rPr>
      </w:pPr>
    </w:p>
    <w:sectPr w:rsidR="00320AF6" w:rsidRPr="0047753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3E" w:rsidRDefault="002B673E" w:rsidP="00FF41A6">
      <w:r>
        <w:separator/>
      </w:r>
    </w:p>
  </w:endnote>
  <w:endnote w:type="continuationSeparator" w:id="0">
    <w:p w:rsidR="002B673E" w:rsidRDefault="002B67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3A" w:rsidRDefault="0002233A" w:rsidP="00F515B5">
    <w:pPr>
      <w:jc w:val="center"/>
      <w:rPr>
        <w:rFonts w:eastAsia="Calibri"/>
        <w:i/>
        <w:iCs/>
        <w:sz w:val="18"/>
        <w:szCs w:val="18"/>
      </w:rPr>
    </w:pPr>
  </w:p>
  <w:p w:rsidR="0002233A" w:rsidRDefault="0002233A" w:rsidP="00F515B5">
    <w:pPr>
      <w:tabs>
        <w:tab w:val="center" w:pos="4536"/>
        <w:tab w:val="right" w:pos="9072"/>
      </w:tabs>
      <w:jc w:val="center"/>
    </w:pPr>
  </w:p>
  <w:p w:rsidR="0002233A" w:rsidRPr="00F515B5" w:rsidRDefault="0002233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3E" w:rsidRDefault="002B673E" w:rsidP="00FF41A6">
      <w:r>
        <w:separator/>
      </w:r>
    </w:p>
  </w:footnote>
  <w:footnote w:type="continuationSeparator" w:id="0">
    <w:p w:rsidR="002B673E" w:rsidRDefault="002B67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3A" w:rsidRDefault="0002233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2233A" w:rsidRPr="00426781" w:rsidRDefault="0002233A" w:rsidP="00FF41A6">
    <w:pPr>
      <w:pStyle w:val="NoSpacing"/>
      <w:jc w:val="center"/>
      <w:rPr>
        <w:rFonts w:ascii="Tw Cen MT" w:hAnsi="Tw Cen MT"/>
      </w:rPr>
    </w:pPr>
  </w:p>
  <w:p w:rsidR="0002233A" w:rsidRDefault="0002233A" w:rsidP="00FF41A6">
    <w:pPr>
      <w:pStyle w:val="NoSpacing"/>
      <w:jc w:val="center"/>
      <w:rPr>
        <w:rFonts w:ascii="Tw Cen MT" w:hAnsi="Tw Cen MT"/>
      </w:rPr>
    </w:pPr>
  </w:p>
  <w:p w:rsidR="0002233A" w:rsidRPr="00D104DB" w:rsidRDefault="0002233A" w:rsidP="00FF41A6">
    <w:pPr>
      <w:pStyle w:val="NoSpacing"/>
      <w:jc w:val="center"/>
      <w:rPr>
        <w:sz w:val="16"/>
        <w:szCs w:val="16"/>
      </w:rPr>
    </w:pPr>
  </w:p>
  <w:p w:rsidR="0002233A" w:rsidRDefault="0002233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7A6"/>
    <w:multiLevelType w:val="hybridMultilevel"/>
    <w:tmpl w:val="80F8424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2233A"/>
    <w:rsid w:val="00094E5E"/>
    <w:rsid w:val="000A78EE"/>
    <w:rsid w:val="000B7A8F"/>
    <w:rsid w:val="00136EEF"/>
    <w:rsid w:val="00225B8F"/>
    <w:rsid w:val="00252DF9"/>
    <w:rsid w:val="00266C96"/>
    <w:rsid w:val="00291FF6"/>
    <w:rsid w:val="002B58CC"/>
    <w:rsid w:val="002B673E"/>
    <w:rsid w:val="00320AF6"/>
    <w:rsid w:val="0038353D"/>
    <w:rsid w:val="00397A26"/>
    <w:rsid w:val="004038CE"/>
    <w:rsid w:val="00413297"/>
    <w:rsid w:val="00425DD9"/>
    <w:rsid w:val="00477533"/>
    <w:rsid w:val="00483B47"/>
    <w:rsid w:val="00487E9D"/>
    <w:rsid w:val="004932DE"/>
    <w:rsid w:val="004E0DFB"/>
    <w:rsid w:val="004E1488"/>
    <w:rsid w:val="004E3597"/>
    <w:rsid w:val="005018C7"/>
    <w:rsid w:val="0055089C"/>
    <w:rsid w:val="00572879"/>
    <w:rsid w:val="006925A3"/>
    <w:rsid w:val="006A5983"/>
    <w:rsid w:val="006E195E"/>
    <w:rsid w:val="006E396B"/>
    <w:rsid w:val="007571A5"/>
    <w:rsid w:val="007634B3"/>
    <w:rsid w:val="007776F2"/>
    <w:rsid w:val="007F2AFE"/>
    <w:rsid w:val="00873376"/>
    <w:rsid w:val="00880758"/>
    <w:rsid w:val="00881F00"/>
    <w:rsid w:val="008B1520"/>
    <w:rsid w:val="00915587"/>
    <w:rsid w:val="00967558"/>
    <w:rsid w:val="0097545C"/>
    <w:rsid w:val="00991837"/>
    <w:rsid w:val="00A11F2B"/>
    <w:rsid w:val="00A76F00"/>
    <w:rsid w:val="00AB3DCA"/>
    <w:rsid w:val="00AF6EEF"/>
    <w:rsid w:val="00B00E2E"/>
    <w:rsid w:val="00B32AB7"/>
    <w:rsid w:val="00B335EA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A7A5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312D66-2CF9-490C-9EA7-79933483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