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0298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22330A" w:rsidRDefault="0022330A">
      <w:pPr>
        <w:jc w:val="right"/>
        <w:rPr>
          <w:b/>
          <w:color w:val="000000"/>
          <w:sz w:val="24"/>
        </w:rPr>
      </w:pPr>
    </w:p>
    <w:p w:rsidR="00BC18CE" w:rsidRPr="007A54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A54C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3B69C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pat-402 43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A54CE" w:rsidRDefault="0030298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A54CE">
        <w:rPr>
          <w:b/>
          <w:i/>
          <w:iCs/>
          <w:color w:val="000000"/>
          <w:sz w:val="24"/>
        </w:rPr>
        <w:t>MAMMOGRAPHIE/ ECHO COMPRISE</w:t>
      </w:r>
      <w:r w:rsidR="007A54CE">
        <w:rPr>
          <w:b/>
          <w:i/>
          <w:iCs/>
          <w:color w:val="000000"/>
          <w:sz w:val="24"/>
        </w:rPr>
        <w:t xml:space="preserve"> + TOMOSYNTHESE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7A54CE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A54CE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7A54CE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4921D4" w:rsidRDefault="004921D4" w:rsidP="000A24F3">
      <w:pPr>
        <w:rPr>
          <w:bCs/>
          <w:color w:val="000000"/>
          <w:sz w:val="24"/>
        </w:rPr>
      </w:pPr>
    </w:p>
    <w:p w:rsidR="004921D4" w:rsidRDefault="004921D4" w:rsidP="003F0FB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des quadrants externes du </w:t>
      </w:r>
      <w:r w:rsidR="003F0FB6">
        <w:rPr>
          <w:bCs/>
          <w:color w:val="000000"/>
          <w:sz w:val="24"/>
        </w:rPr>
        <w:t>sein gauche, visible de face et s’étalant sur l’incidence oblique externe et en tomosynthèse</w:t>
      </w:r>
      <w:r w:rsidR="0002645C">
        <w:rPr>
          <w:bCs/>
          <w:color w:val="000000"/>
          <w:sz w:val="24"/>
        </w:rPr>
        <w:t> : asymétrie d’involution</w:t>
      </w:r>
      <w:r w:rsidR="003F0FB6">
        <w:rPr>
          <w:bCs/>
          <w:color w:val="000000"/>
          <w:sz w:val="24"/>
        </w:rPr>
        <w:t xml:space="preserve">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22330A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2233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</w:t>
      </w:r>
      <w:r w:rsidR="0022330A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en dehors de ganglions axillaires, </w:t>
      </w:r>
      <w:r w:rsidR="0022330A">
        <w:rPr>
          <w:bCs/>
          <w:color w:val="000000"/>
          <w:sz w:val="24"/>
        </w:rPr>
        <w:t xml:space="preserve">de morphologie conservée, </w:t>
      </w:r>
      <w:r>
        <w:rPr>
          <w:bCs/>
          <w:color w:val="000000"/>
          <w:sz w:val="24"/>
        </w:rPr>
        <w:t xml:space="preserve"> d’allure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223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22330A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>xamen classé BI-RADS 1 de l’ACR.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2B5" w:rsidRDefault="00DB12B5" w:rsidP="00FF41A6">
      <w:r>
        <w:separator/>
      </w:r>
    </w:p>
  </w:endnote>
  <w:endnote w:type="continuationSeparator" w:id="0">
    <w:p w:rsidR="00DB12B5" w:rsidRDefault="00DB12B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2B5" w:rsidRDefault="00DB12B5" w:rsidP="00FF41A6">
      <w:r>
        <w:separator/>
      </w:r>
    </w:p>
  </w:footnote>
  <w:footnote w:type="continuationSeparator" w:id="0">
    <w:p w:rsidR="00DB12B5" w:rsidRDefault="00DB12B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2645C"/>
    <w:rsid w:val="00094E5E"/>
    <w:rsid w:val="000A24F3"/>
    <w:rsid w:val="000A78EE"/>
    <w:rsid w:val="000B7A8F"/>
    <w:rsid w:val="00136EEF"/>
    <w:rsid w:val="001A5A6D"/>
    <w:rsid w:val="0022330A"/>
    <w:rsid w:val="00266C96"/>
    <w:rsid w:val="00291FF6"/>
    <w:rsid w:val="002B58CC"/>
    <w:rsid w:val="00302989"/>
    <w:rsid w:val="00320AF6"/>
    <w:rsid w:val="0038353D"/>
    <w:rsid w:val="00397A26"/>
    <w:rsid w:val="003B69C3"/>
    <w:rsid w:val="003F0FB6"/>
    <w:rsid w:val="004038CE"/>
    <w:rsid w:val="00413297"/>
    <w:rsid w:val="00425DD9"/>
    <w:rsid w:val="00483B47"/>
    <w:rsid w:val="00487E9D"/>
    <w:rsid w:val="004921D4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A54CE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5462"/>
    <w:rsid w:val="00DB12B5"/>
    <w:rsid w:val="00DC7E65"/>
    <w:rsid w:val="00DE3E17"/>
    <w:rsid w:val="00E25639"/>
    <w:rsid w:val="00E31EF8"/>
    <w:rsid w:val="00EB2A23"/>
    <w:rsid w:val="00ED268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6F617C-009C-4550-B50E-8759208D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2023-09-18T22:23:00Z</dcterms:created>
  <dcterms:modified xsi:type="dcterms:W3CDTF">2023-09-18T22:23:00Z</dcterms:modified>
</cp:coreProperties>
</file>