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FF57C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F613A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pat-437 44 ANS </w:t>
      </w:r>
    </w:p>
    <w:p w:rsidR="00EB2A23" w:rsidRPr="004640B0" w:rsidRDefault="00FF57C7" w:rsidP="004640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640B0">
        <w:rPr>
          <w:b/>
          <w:i/>
          <w:iCs/>
          <w:color w:val="000000"/>
          <w:sz w:val="24"/>
        </w:rPr>
        <w:t>MAMMOGRAPHIE</w:t>
      </w:r>
      <w:r w:rsidR="004640B0" w:rsidRPr="004640B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640B0" w:rsidRDefault="00EB2A23">
      <w:pPr>
        <w:rPr>
          <w:b/>
          <w:color w:val="000000"/>
          <w:sz w:val="24"/>
          <w:szCs w:val="24"/>
        </w:rPr>
      </w:pPr>
      <w:r w:rsidRPr="004640B0">
        <w:rPr>
          <w:b/>
          <w:iCs/>
          <w:color w:val="000000"/>
          <w:sz w:val="24"/>
          <w:szCs w:val="24"/>
          <w:u w:val="single"/>
        </w:rPr>
        <w:t>RESULTATS</w:t>
      </w:r>
      <w:r w:rsidRPr="004640B0">
        <w:rPr>
          <w:b/>
          <w:i/>
          <w:color w:val="000000"/>
          <w:sz w:val="24"/>
          <w:szCs w:val="24"/>
        </w:rPr>
        <w:t>:</w:t>
      </w:r>
      <w:r w:rsidRPr="004640B0">
        <w:rPr>
          <w:b/>
          <w:color w:val="000000"/>
          <w:sz w:val="24"/>
          <w:szCs w:val="24"/>
        </w:rPr>
        <w:t xml:space="preserve"> </w:t>
      </w:r>
    </w:p>
    <w:p w:rsidR="00B32AB7" w:rsidRPr="004640B0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F26577">
      <w:pPr>
        <w:rPr>
          <w:bCs/>
          <w:color w:val="000000"/>
          <w:sz w:val="24"/>
          <w:szCs w:val="24"/>
        </w:rPr>
      </w:pPr>
      <w:r w:rsidRPr="004640B0">
        <w:rPr>
          <w:bCs/>
          <w:color w:val="000000"/>
          <w:sz w:val="24"/>
          <w:szCs w:val="24"/>
        </w:rPr>
        <w:t xml:space="preserve">Seins à trame </w:t>
      </w:r>
      <w:r w:rsidR="00F26577">
        <w:rPr>
          <w:bCs/>
          <w:color w:val="000000"/>
          <w:sz w:val="24"/>
          <w:szCs w:val="24"/>
        </w:rPr>
        <w:t>conjonctivo</w:t>
      </w:r>
      <w:r w:rsidRPr="004640B0">
        <w:rPr>
          <w:bCs/>
          <w:color w:val="000000"/>
          <w:sz w:val="24"/>
          <w:szCs w:val="24"/>
        </w:rPr>
        <w:t xml:space="preserve">-glandulaire et graisseuse type </w:t>
      </w:r>
      <w:r w:rsidR="00F26577">
        <w:rPr>
          <w:bCs/>
          <w:color w:val="000000"/>
          <w:sz w:val="24"/>
          <w:szCs w:val="24"/>
        </w:rPr>
        <w:t>b</w:t>
      </w:r>
      <w:r w:rsidRPr="004640B0">
        <w:rPr>
          <w:bCs/>
          <w:color w:val="000000"/>
          <w:sz w:val="24"/>
          <w:szCs w:val="24"/>
        </w:rPr>
        <w:t xml:space="preserve"> de l’ACR</w:t>
      </w:r>
      <w:r w:rsidR="008E588C">
        <w:rPr>
          <w:bCs/>
          <w:color w:val="000000"/>
          <w:sz w:val="24"/>
          <w:szCs w:val="24"/>
        </w:rPr>
        <w:t>, de répartition superposable aux données mammographiques de 2021</w:t>
      </w:r>
      <w:r w:rsidRPr="004640B0">
        <w:rPr>
          <w:bCs/>
          <w:color w:val="000000"/>
          <w:sz w:val="24"/>
          <w:szCs w:val="24"/>
        </w:rPr>
        <w:t>.</w:t>
      </w:r>
    </w:p>
    <w:p w:rsidR="00F26577" w:rsidRDefault="00F26577" w:rsidP="00F2657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réniforme en projection du QMS gauche circonscrite, satellite d’une structure vasculaire, évoquant un ganglion intra-mammaire.</w:t>
      </w:r>
    </w:p>
    <w:p w:rsidR="00F26577" w:rsidRDefault="00F26577" w:rsidP="00F2657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Opacités rubanées rétro-aréolaires bilatérales évoquant une ectasie canalaire.</w:t>
      </w:r>
    </w:p>
    <w:p w:rsidR="00305BA6" w:rsidRDefault="000D634F" w:rsidP="00F2657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peu dense de tonalité hydrique homogène</w:t>
      </w:r>
      <w:r w:rsidR="0055093C">
        <w:rPr>
          <w:bCs/>
          <w:color w:val="000000"/>
          <w:sz w:val="24"/>
          <w:szCs w:val="24"/>
        </w:rPr>
        <w:t xml:space="preserve"> en projection du QMInf droit, de contours partiellement masqués, mesurant environ 2 cm de grand axe.</w:t>
      </w:r>
    </w:p>
    <w:p w:rsidR="00B32AB7" w:rsidRPr="004640B0" w:rsidRDefault="00B32AB7" w:rsidP="0055093C">
      <w:pPr>
        <w:rPr>
          <w:bCs/>
          <w:color w:val="000000"/>
          <w:sz w:val="24"/>
          <w:szCs w:val="24"/>
        </w:rPr>
      </w:pPr>
      <w:r w:rsidRPr="004640B0">
        <w:rPr>
          <w:bCs/>
          <w:color w:val="000000"/>
          <w:sz w:val="24"/>
          <w:szCs w:val="24"/>
        </w:rPr>
        <w:t>Absence d’i</w:t>
      </w:r>
      <w:r w:rsidR="0055093C">
        <w:rPr>
          <w:bCs/>
          <w:color w:val="000000"/>
          <w:sz w:val="24"/>
          <w:szCs w:val="24"/>
        </w:rPr>
        <w:t>mage d’opacité nodulo-stellaire ou de distorsion architecturale.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640B0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4640B0" w:rsidRDefault="00301E11" w:rsidP="00D4601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punctiformes éparses bilatérales et quelques macro-calcifications mammaires droites.</w:t>
      </w:r>
    </w:p>
    <w:p w:rsidR="00B32AB7" w:rsidRPr="004640B0" w:rsidRDefault="00B32AB7" w:rsidP="00D46019">
      <w:pPr>
        <w:rPr>
          <w:bCs/>
          <w:color w:val="000000"/>
          <w:sz w:val="24"/>
          <w:szCs w:val="24"/>
        </w:rPr>
      </w:pPr>
      <w:r w:rsidRPr="004640B0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4640B0" w:rsidRDefault="00D46019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droits à centre clair.</w:t>
      </w:r>
    </w:p>
    <w:p w:rsidR="00B32AB7" w:rsidRPr="004640B0" w:rsidRDefault="00B32AB7" w:rsidP="00B32AB7">
      <w:pPr>
        <w:rPr>
          <w:bCs/>
          <w:color w:val="000000"/>
          <w:sz w:val="24"/>
          <w:szCs w:val="24"/>
        </w:rPr>
      </w:pPr>
    </w:p>
    <w:p w:rsidR="00B32AB7" w:rsidRPr="004640B0" w:rsidRDefault="00B32AB7" w:rsidP="00FD7E42">
      <w:pPr>
        <w:ind w:firstLine="708"/>
        <w:rPr>
          <w:bCs/>
          <w:color w:val="000000"/>
          <w:sz w:val="24"/>
          <w:szCs w:val="24"/>
        </w:rPr>
      </w:pPr>
      <w:r w:rsidRPr="0075280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52803" w:rsidRPr="00752803">
        <w:rPr>
          <w:b/>
          <w:bCs/>
          <w:i/>
          <w:color w:val="000000"/>
          <w:sz w:val="24"/>
          <w:szCs w:val="24"/>
          <w:u w:val="single"/>
        </w:rPr>
        <w:t> :</w:t>
      </w:r>
      <w:r w:rsidRPr="0075280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86163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Persistance de la masse de l’UQInf du sein droit de forme ovalaire, de grand axe horizontal, de contours circonscrits, d’échostructure hypoéchogène homogène, non atténuante, mesurant </w:t>
      </w:r>
      <w:r w:rsidR="008D2297">
        <w:rPr>
          <w:bCs/>
          <w:color w:val="000000"/>
          <w:sz w:val="24"/>
          <w:szCs w:val="24"/>
        </w:rPr>
        <w:t>19x6 mm de grands axes, stable par rapport aux données antérieures.</w:t>
      </w:r>
    </w:p>
    <w:p w:rsidR="008D2297" w:rsidRDefault="008D2297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 intra-mammaire </w:t>
      </w:r>
      <w:r w:rsidR="000D5936">
        <w:rPr>
          <w:bCs/>
          <w:color w:val="000000"/>
          <w:sz w:val="24"/>
          <w:szCs w:val="24"/>
        </w:rPr>
        <w:t>d’aspect bénin du QMS gauche, ovalaire, à centre graisseux et cortex hypoéchogène régulier, mesuré 8 mm.</w:t>
      </w:r>
    </w:p>
    <w:p w:rsidR="00B32AB7" w:rsidRPr="004640B0" w:rsidRDefault="00024B5B" w:rsidP="001372B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 à contenu finement échogène, mesurée 4 mm de diamètre maximal à gauche et 4,5 mm à droite.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640B0">
        <w:rPr>
          <w:bCs/>
          <w:color w:val="000000"/>
          <w:sz w:val="24"/>
          <w:szCs w:val="24"/>
        </w:rPr>
        <w:t>Absence d’ombre acoustique pathologique.</w:t>
      </w:r>
    </w:p>
    <w:p w:rsidR="00870903" w:rsidRDefault="00870903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870903" w:rsidRPr="004640B0" w:rsidRDefault="00870903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4640B0" w:rsidRDefault="00B32AB7" w:rsidP="00B32AB7">
      <w:pPr>
        <w:rPr>
          <w:bCs/>
          <w:color w:val="000000"/>
          <w:sz w:val="24"/>
          <w:szCs w:val="24"/>
        </w:rPr>
      </w:pPr>
      <w:r w:rsidRPr="004640B0">
        <w:rPr>
          <w:bCs/>
          <w:color w:val="000000"/>
          <w:sz w:val="24"/>
          <w:szCs w:val="24"/>
        </w:rPr>
        <w:t>Absence d’adénopathies axillaires</w:t>
      </w:r>
      <w:r w:rsidR="00870903">
        <w:rPr>
          <w:bCs/>
          <w:color w:val="000000"/>
          <w:sz w:val="24"/>
          <w:szCs w:val="24"/>
        </w:rPr>
        <w:t xml:space="preserve">, en dehors de ganglions </w:t>
      </w:r>
      <w:r w:rsidR="00677878">
        <w:rPr>
          <w:bCs/>
          <w:color w:val="000000"/>
          <w:sz w:val="24"/>
          <w:szCs w:val="24"/>
        </w:rPr>
        <w:t xml:space="preserve">bilatéraux </w:t>
      </w:r>
      <w:r w:rsidR="00870903">
        <w:rPr>
          <w:bCs/>
          <w:color w:val="000000"/>
          <w:sz w:val="24"/>
          <w:szCs w:val="24"/>
        </w:rPr>
        <w:t xml:space="preserve">de morphologie conservée d’allure </w:t>
      </w:r>
      <w:r w:rsidR="0001773E">
        <w:rPr>
          <w:bCs/>
          <w:color w:val="000000"/>
          <w:sz w:val="24"/>
          <w:szCs w:val="24"/>
        </w:rPr>
        <w:t>inflammatoire</w:t>
      </w:r>
      <w:r w:rsidRPr="004640B0">
        <w:rPr>
          <w:bCs/>
          <w:color w:val="000000"/>
          <w:sz w:val="24"/>
          <w:szCs w:val="24"/>
        </w:rPr>
        <w:t>.</w:t>
      </w:r>
    </w:p>
    <w:p w:rsidR="00B32AB7" w:rsidRPr="004640B0" w:rsidRDefault="00B32AB7" w:rsidP="00B32AB7">
      <w:pPr>
        <w:rPr>
          <w:bCs/>
          <w:color w:val="000000"/>
          <w:sz w:val="24"/>
          <w:szCs w:val="24"/>
        </w:rPr>
      </w:pPr>
    </w:p>
    <w:p w:rsidR="00B32AB7" w:rsidRPr="00923343" w:rsidRDefault="00923343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92334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23343">
        <w:rPr>
          <w:b/>
          <w:bCs/>
          <w:iCs/>
          <w:color w:val="000000"/>
          <w:sz w:val="24"/>
          <w:szCs w:val="24"/>
        </w:rPr>
        <w:t xml:space="preserve"> :</w:t>
      </w:r>
    </w:p>
    <w:p w:rsidR="00E47EB7" w:rsidRDefault="00D962DC" w:rsidP="00017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4640B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01773E">
        <w:rPr>
          <w:b/>
          <w:bCs/>
          <w:i/>
          <w:color w:val="000000"/>
          <w:sz w:val="24"/>
          <w:szCs w:val="24"/>
        </w:rPr>
        <w:t xml:space="preserve">en  faveur d’une stabilité de la masse mammaire droite </w:t>
      </w:r>
      <w:r w:rsidR="00E47EB7">
        <w:rPr>
          <w:b/>
          <w:bCs/>
          <w:i/>
          <w:color w:val="000000"/>
          <w:sz w:val="24"/>
          <w:szCs w:val="24"/>
        </w:rPr>
        <w:t>de sémiologie bénigne, associée à un aspect de ganglion intra-mammaire béni du sein gauche et à une ectasie canalaire rétro-aréolaire bilatérale à contenu finement échogène.</w:t>
      </w:r>
    </w:p>
    <w:p w:rsidR="00B32AB7" w:rsidRPr="004640B0" w:rsidRDefault="00D962DC" w:rsidP="00E47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4640B0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E47EB7">
        <w:rPr>
          <w:b/>
          <w:bCs/>
          <w:i/>
          <w:color w:val="000000"/>
          <w:sz w:val="24"/>
          <w:szCs w:val="24"/>
        </w:rPr>
        <w:t>3</w:t>
      </w:r>
      <w:r w:rsidR="00B32AB7" w:rsidRPr="004640B0">
        <w:rPr>
          <w:b/>
          <w:bCs/>
          <w:i/>
          <w:color w:val="000000"/>
          <w:sz w:val="24"/>
          <w:szCs w:val="24"/>
        </w:rPr>
        <w:t xml:space="preserve"> de l’ACR</w:t>
      </w:r>
      <w:r w:rsidR="00E47EB7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B32AB7" w:rsidRPr="004640B0">
        <w:rPr>
          <w:b/>
          <w:bCs/>
          <w:i/>
          <w:color w:val="000000"/>
          <w:sz w:val="24"/>
          <w:szCs w:val="24"/>
        </w:rPr>
        <w:t>.</w:t>
      </w:r>
    </w:p>
    <w:p w:rsidR="00B32AB7" w:rsidRPr="004640B0" w:rsidRDefault="00D962DC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47EB7">
        <w:rPr>
          <w:b/>
          <w:bCs/>
          <w:i/>
          <w:color w:val="000000"/>
          <w:sz w:val="24"/>
          <w:szCs w:val="24"/>
        </w:rPr>
        <w:t>Un contrôle échographique est souhaitable dans 04 à 06 mois.</w:t>
      </w:r>
    </w:p>
    <w:p w:rsidR="004640B0" w:rsidRPr="004640B0" w:rsidRDefault="004640B0" w:rsidP="00B32AB7">
      <w:pPr>
        <w:rPr>
          <w:b/>
          <w:i/>
          <w:iCs/>
          <w:color w:val="000000"/>
          <w:sz w:val="24"/>
          <w:szCs w:val="24"/>
        </w:rPr>
      </w:pPr>
    </w:p>
    <w:p w:rsidR="00320AF6" w:rsidRPr="004640B0" w:rsidRDefault="00320AF6">
      <w:pPr>
        <w:rPr>
          <w:sz w:val="24"/>
          <w:szCs w:val="24"/>
        </w:rPr>
      </w:pPr>
    </w:p>
    <w:sectPr w:rsidR="00320AF6" w:rsidRPr="004640B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37D" w:rsidRDefault="0016337D" w:rsidP="00FF41A6">
      <w:r>
        <w:separator/>
      </w:r>
    </w:p>
  </w:endnote>
  <w:endnote w:type="continuationSeparator" w:id="0">
    <w:p w:rsidR="0016337D" w:rsidRDefault="0016337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37D" w:rsidRDefault="0016337D" w:rsidP="00FF41A6">
      <w:r>
        <w:separator/>
      </w:r>
    </w:p>
  </w:footnote>
  <w:footnote w:type="continuationSeparator" w:id="0">
    <w:p w:rsidR="0016337D" w:rsidRDefault="0016337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1773E"/>
    <w:rsid w:val="00024B5B"/>
    <w:rsid w:val="00094E5E"/>
    <w:rsid w:val="000A78EE"/>
    <w:rsid w:val="000B7A8F"/>
    <w:rsid w:val="000D5936"/>
    <w:rsid w:val="000D634F"/>
    <w:rsid w:val="00136EEF"/>
    <w:rsid w:val="001372BE"/>
    <w:rsid w:val="0016337D"/>
    <w:rsid w:val="001C4EF6"/>
    <w:rsid w:val="00266C96"/>
    <w:rsid w:val="00291FF6"/>
    <w:rsid w:val="002B58CC"/>
    <w:rsid w:val="00301E11"/>
    <w:rsid w:val="00305BA6"/>
    <w:rsid w:val="00320AF6"/>
    <w:rsid w:val="00327FF6"/>
    <w:rsid w:val="00345941"/>
    <w:rsid w:val="0038353D"/>
    <w:rsid w:val="00397A26"/>
    <w:rsid w:val="004038CE"/>
    <w:rsid w:val="00413297"/>
    <w:rsid w:val="00425DD9"/>
    <w:rsid w:val="004640B0"/>
    <w:rsid w:val="00481592"/>
    <w:rsid w:val="00483B47"/>
    <w:rsid w:val="00487E9D"/>
    <w:rsid w:val="00493DDD"/>
    <w:rsid w:val="004C48BC"/>
    <w:rsid w:val="004E0DFB"/>
    <w:rsid w:val="004E1488"/>
    <w:rsid w:val="005018C7"/>
    <w:rsid w:val="0055089C"/>
    <w:rsid w:val="0055093C"/>
    <w:rsid w:val="00677878"/>
    <w:rsid w:val="006925A3"/>
    <w:rsid w:val="006A5983"/>
    <w:rsid w:val="006E396B"/>
    <w:rsid w:val="00752803"/>
    <w:rsid w:val="007571A5"/>
    <w:rsid w:val="007C12DC"/>
    <w:rsid w:val="007F2AFE"/>
    <w:rsid w:val="00802A76"/>
    <w:rsid w:val="00861632"/>
    <w:rsid w:val="00870903"/>
    <w:rsid w:val="008B1520"/>
    <w:rsid w:val="008D2297"/>
    <w:rsid w:val="008E588C"/>
    <w:rsid w:val="00915587"/>
    <w:rsid w:val="00923343"/>
    <w:rsid w:val="0097545C"/>
    <w:rsid w:val="00991837"/>
    <w:rsid w:val="00A11F2B"/>
    <w:rsid w:val="00A708D9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BF46E0"/>
    <w:rsid w:val="00C1466C"/>
    <w:rsid w:val="00C7676D"/>
    <w:rsid w:val="00C821F0"/>
    <w:rsid w:val="00CD057F"/>
    <w:rsid w:val="00CF613A"/>
    <w:rsid w:val="00D159C3"/>
    <w:rsid w:val="00D267AC"/>
    <w:rsid w:val="00D46019"/>
    <w:rsid w:val="00D962DC"/>
    <w:rsid w:val="00DC7E65"/>
    <w:rsid w:val="00DE3E17"/>
    <w:rsid w:val="00E25639"/>
    <w:rsid w:val="00E31EF8"/>
    <w:rsid w:val="00E47EB7"/>
    <w:rsid w:val="00E9175B"/>
    <w:rsid w:val="00EB2A23"/>
    <w:rsid w:val="00EE4ACF"/>
    <w:rsid w:val="00F26577"/>
    <w:rsid w:val="00F45755"/>
    <w:rsid w:val="00F515B5"/>
    <w:rsid w:val="00F7627E"/>
    <w:rsid w:val="00F9325F"/>
    <w:rsid w:val="00FB18E1"/>
    <w:rsid w:val="00FD7E42"/>
    <w:rsid w:val="00FF41A6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AA19C7-5C4E-46E3-BECC-4A2220ED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2023-09-18T22:25:00Z</dcterms:created>
  <dcterms:modified xsi:type="dcterms:W3CDTF">2023-09-18T22:25:00Z</dcterms:modified>
</cp:coreProperties>
</file>