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962500" w:rsidP="002A346C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6 juin 2023</w:t>
      </w:r>
    </w:p>
    <w:p w:rsidR="00BC18CE" w:rsidRPr="00946719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946719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Default="00C01DB1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pat-504 35 ANS </w:t>
      </w:r>
    </w:p>
    <w:p w:rsidR="00EB2A23" w:rsidRPr="00946719" w:rsidRDefault="00962500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46719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48125F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48125F">
        <w:rPr>
          <w:sz w:val="24"/>
          <w:szCs w:val="24"/>
        </w:rPr>
        <w:t>graisseux</w:t>
      </w:r>
      <w:r>
        <w:rPr>
          <w:sz w:val="24"/>
          <w:szCs w:val="24"/>
        </w:rPr>
        <w:t xml:space="preserve"> hétérogènes type </w:t>
      </w:r>
      <w:r w:rsidR="0048125F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48125F" w:rsidRDefault="0048125F" w:rsidP="0048125F">
      <w:pPr>
        <w:rPr>
          <w:sz w:val="24"/>
          <w:szCs w:val="24"/>
        </w:rPr>
      </w:pPr>
      <w:r>
        <w:rPr>
          <w:sz w:val="24"/>
          <w:szCs w:val="24"/>
        </w:rPr>
        <w:t xml:space="preserve">Présence d’opacités ovalaires éparses bilatérales, de taille variable, bien limitées, de densité moyenne, homogènes pour la plupart, dont une présente des macro-calcifications au niveau du QSE droit. </w:t>
      </w:r>
    </w:p>
    <w:p w:rsidR="0048125F" w:rsidRPr="00B91167" w:rsidRDefault="0048125F" w:rsidP="0048125F">
      <w:pPr>
        <w:rPr>
          <w:sz w:val="24"/>
          <w:szCs w:val="24"/>
        </w:rPr>
      </w:pPr>
      <w:r w:rsidRPr="00B91167">
        <w:rPr>
          <w:sz w:val="24"/>
          <w:szCs w:val="24"/>
        </w:rPr>
        <w:t xml:space="preserve">Quelques calcifications dystrophiques éparses bilatérales. </w:t>
      </w:r>
    </w:p>
    <w:p w:rsidR="00183ACC" w:rsidRPr="00B91167" w:rsidRDefault="00183ACC" w:rsidP="00183ACC">
      <w:pPr>
        <w:rPr>
          <w:sz w:val="24"/>
          <w:szCs w:val="24"/>
        </w:rPr>
      </w:pPr>
      <w:r w:rsidRPr="00B91167"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BD1ABF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BD1ABF">
        <w:rPr>
          <w:sz w:val="24"/>
          <w:szCs w:val="24"/>
        </w:rPr>
        <w:t xml:space="preserve">objective les opacités sus-décrites, correspondant avec formations nodulaires solides, ovalaires, bien limitées, régulières, </w:t>
      </w:r>
      <w:r w:rsidR="008102ED">
        <w:rPr>
          <w:sz w:val="24"/>
          <w:szCs w:val="24"/>
        </w:rPr>
        <w:t>de taille variable, réparties et mesurant comme suit :</w:t>
      </w:r>
    </w:p>
    <w:p w:rsidR="008102ED" w:rsidRPr="004762E7" w:rsidRDefault="008102ED" w:rsidP="00BD1ABF">
      <w:pPr>
        <w:rPr>
          <w:i/>
          <w:iCs/>
          <w:sz w:val="24"/>
          <w:szCs w:val="24"/>
        </w:rPr>
      </w:pPr>
      <w:r w:rsidRPr="004762E7">
        <w:rPr>
          <w:i/>
          <w:iCs/>
          <w:sz w:val="24"/>
          <w:szCs w:val="24"/>
        </w:rPr>
        <w:t>Sein droit :</w:t>
      </w:r>
    </w:p>
    <w:p w:rsidR="008102ED" w:rsidRPr="004762E7" w:rsidRDefault="008102ED" w:rsidP="004762E7">
      <w:pPr>
        <w:numPr>
          <w:ilvl w:val="0"/>
          <w:numId w:val="1"/>
        </w:numPr>
        <w:rPr>
          <w:i/>
          <w:iCs/>
          <w:sz w:val="24"/>
          <w:szCs w:val="24"/>
        </w:rPr>
      </w:pPr>
      <w:r w:rsidRPr="004762E7">
        <w:rPr>
          <w:i/>
          <w:iCs/>
          <w:sz w:val="24"/>
          <w:szCs w:val="24"/>
        </w:rPr>
        <w:t>Union des quadrants internes droits de 15x07mm.</w:t>
      </w:r>
    </w:p>
    <w:p w:rsidR="008102ED" w:rsidRPr="004762E7" w:rsidRDefault="008102ED" w:rsidP="004762E7">
      <w:pPr>
        <w:numPr>
          <w:ilvl w:val="0"/>
          <w:numId w:val="1"/>
        </w:numPr>
        <w:rPr>
          <w:i/>
          <w:iCs/>
          <w:sz w:val="24"/>
          <w:szCs w:val="24"/>
        </w:rPr>
      </w:pPr>
      <w:r w:rsidRPr="004762E7">
        <w:rPr>
          <w:i/>
          <w:iCs/>
          <w:sz w:val="24"/>
          <w:szCs w:val="24"/>
        </w:rPr>
        <w:t>Union des quadrants supérieurs droits de 07mm.</w:t>
      </w:r>
    </w:p>
    <w:p w:rsidR="008102ED" w:rsidRPr="004762E7" w:rsidRDefault="008102ED" w:rsidP="004762E7">
      <w:pPr>
        <w:numPr>
          <w:ilvl w:val="0"/>
          <w:numId w:val="1"/>
        </w:numPr>
        <w:rPr>
          <w:i/>
          <w:iCs/>
          <w:sz w:val="24"/>
          <w:szCs w:val="24"/>
        </w:rPr>
      </w:pPr>
      <w:r w:rsidRPr="004762E7">
        <w:rPr>
          <w:i/>
          <w:iCs/>
          <w:sz w:val="24"/>
          <w:szCs w:val="24"/>
        </w:rPr>
        <w:t>QII droit de 25x14mm.</w:t>
      </w:r>
    </w:p>
    <w:p w:rsidR="008102ED" w:rsidRPr="004762E7" w:rsidRDefault="000516B0" w:rsidP="004762E7">
      <w:pPr>
        <w:numPr>
          <w:ilvl w:val="0"/>
          <w:numId w:val="1"/>
        </w:numPr>
        <w:rPr>
          <w:i/>
          <w:iCs/>
          <w:sz w:val="24"/>
          <w:szCs w:val="24"/>
        </w:rPr>
      </w:pPr>
      <w:r w:rsidRPr="004762E7">
        <w:rPr>
          <w:i/>
          <w:iCs/>
          <w:sz w:val="24"/>
          <w:szCs w:val="24"/>
        </w:rPr>
        <w:t>Union des quadrants externes droits de 14x07mm.</w:t>
      </w:r>
    </w:p>
    <w:p w:rsidR="000516B0" w:rsidRPr="004762E7" w:rsidRDefault="000516B0" w:rsidP="00BD1ABF">
      <w:pPr>
        <w:rPr>
          <w:i/>
          <w:iCs/>
          <w:sz w:val="24"/>
          <w:szCs w:val="24"/>
        </w:rPr>
      </w:pPr>
      <w:r w:rsidRPr="004762E7">
        <w:rPr>
          <w:i/>
          <w:iCs/>
          <w:sz w:val="24"/>
          <w:szCs w:val="24"/>
        </w:rPr>
        <w:t>Sein gauche :</w:t>
      </w:r>
    </w:p>
    <w:p w:rsidR="00183ACC" w:rsidRPr="004762E7" w:rsidRDefault="007C421E" w:rsidP="004762E7">
      <w:pPr>
        <w:numPr>
          <w:ilvl w:val="0"/>
          <w:numId w:val="2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i/>
          <w:iCs/>
          <w:sz w:val="24"/>
          <w:szCs w:val="24"/>
        </w:rPr>
      </w:pPr>
      <w:r w:rsidRPr="004762E7">
        <w:rPr>
          <w:i/>
          <w:iCs/>
          <w:sz w:val="24"/>
          <w:szCs w:val="24"/>
        </w:rPr>
        <w:t>Union des quadrants supérieurs</w:t>
      </w:r>
      <w:r w:rsidR="002A346C" w:rsidRPr="004762E7">
        <w:rPr>
          <w:i/>
          <w:iCs/>
          <w:sz w:val="24"/>
          <w:szCs w:val="24"/>
        </w:rPr>
        <w:t xml:space="preserve"> gauches de 14x11mm.</w:t>
      </w:r>
    </w:p>
    <w:p w:rsidR="002A346C" w:rsidRPr="004762E7" w:rsidRDefault="002A346C" w:rsidP="004762E7">
      <w:pPr>
        <w:numPr>
          <w:ilvl w:val="0"/>
          <w:numId w:val="2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i/>
          <w:iCs/>
          <w:sz w:val="24"/>
          <w:szCs w:val="24"/>
        </w:rPr>
      </w:pPr>
      <w:r w:rsidRPr="004762E7">
        <w:rPr>
          <w:i/>
          <w:iCs/>
          <w:sz w:val="24"/>
          <w:szCs w:val="24"/>
        </w:rPr>
        <w:t>QSE gauche de 42x14mm et 08x09mm.</w:t>
      </w:r>
    </w:p>
    <w:p w:rsidR="002A346C" w:rsidRPr="004762E7" w:rsidRDefault="002A346C" w:rsidP="004762E7">
      <w:pPr>
        <w:numPr>
          <w:ilvl w:val="0"/>
          <w:numId w:val="2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i/>
          <w:iCs/>
          <w:sz w:val="24"/>
          <w:szCs w:val="24"/>
        </w:rPr>
      </w:pPr>
      <w:r w:rsidRPr="004762E7">
        <w:rPr>
          <w:i/>
          <w:iCs/>
          <w:sz w:val="24"/>
          <w:szCs w:val="24"/>
        </w:rPr>
        <w:t>QIE gauche de 06mm.</w:t>
      </w:r>
    </w:p>
    <w:p w:rsidR="000516B0" w:rsidRDefault="000516B0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2A346C" w:rsidRDefault="002A346C" w:rsidP="002A346C">
      <w:pPr>
        <w:rPr>
          <w:sz w:val="24"/>
          <w:szCs w:val="24"/>
        </w:rPr>
      </w:pPr>
      <w:r>
        <w:rPr>
          <w:sz w:val="24"/>
          <w:szCs w:val="24"/>
        </w:rPr>
        <w:t>Présence de quelques micro-formations kystiques à l’union des quadrants supérieurs droits, mesu</w:t>
      </w:r>
      <w:r w:rsidR="00A2726D">
        <w:rPr>
          <w:sz w:val="24"/>
          <w:szCs w:val="24"/>
        </w:rPr>
        <w:t>rées à 04</w:t>
      </w:r>
      <w:r>
        <w:rPr>
          <w:sz w:val="24"/>
          <w:szCs w:val="24"/>
        </w:rPr>
        <w:t xml:space="preserve">mm et à 08mm. 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2A346C">
        <w:rPr>
          <w:sz w:val="24"/>
          <w:szCs w:val="24"/>
        </w:rPr>
        <w:t>, à centre graisseux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2A346C" w:rsidRDefault="00183ACC" w:rsidP="002A34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2A346C" w:rsidRPr="002A346C" w:rsidRDefault="002A346C" w:rsidP="002A34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en faveur de</w:t>
      </w:r>
      <w:r w:rsidRPr="002A346C">
        <w:rPr>
          <w:b/>
          <w:i/>
          <w:sz w:val="24"/>
          <w:szCs w:val="24"/>
        </w:rPr>
        <w:t xml:space="preserve"> nodules mammaires multiples bilatéraux, sans caractère péjoratif, néanmoin</w:t>
      </w:r>
      <w:r w:rsidR="00492A19">
        <w:rPr>
          <w:b/>
          <w:i/>
          <w:sz w:val="24"/>
          <w:szCs w:val="24"/>
        </w:rPr>
        <w:t>s une vérification histologique</w:t>
      </w:r>
      <w:r w:rsidRPr="002A346C">
        <w:rPr>
          <w:b/>
          <w:i/>
          <w:sz w:val="24"/>
          <w:szCs w:val="24"/>
        </w:rPr>
        <w:t xml:space="preserve"> des plus volumineux notamment celui du QII droit et du QSE gauche seraient souhaitables vu leurs tailles et leurs contours lobulés.</w:t>
      </w:r>
    </w:p>
    <w:p w:rsidR="00183ACC" w:rsidRDefault="00183ACC" w:rsidP="002A34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2A346C">
        <w:rPr>
          <w:b/>
          <w:i/>
          <w:sz w:val="24"/>
          <w:szCs w:val="24"/>
        </w:rPr>
        <w:t>4a</w:t>
      </w:r>
      <w:r>
        <w:rPr>
          <w:b/>
          <w:i/>
          <w:sz w:val="24"/>
          <w:szCs w:val="24"/>
        </w:rPr>
        <w:t xml:space="preserve"> de l'ACR au niveau des deux seins.</w:t>
      </w:r>
    </w:p>
    <w:p w:rsidR="00EB2A23" w:rsidRPr="00492A19" w:rsidRDefault="00EB2A23" w:rsidP="00492A19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sectPr w:rsidR="00EB2A2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877" w:rsidRDefault="00B84877" w:rsidP="00FF41A6">
      <w:r>
        <w:separator/>
      </w:r>
    </w:p>
  </w:endnote>
  <w:endnote w:type="continuationSeparator" w:id="0">
    <w:p w:rsidR="00B84877" w:rsidRDefault="00B8487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D2F" w:rsidRDefault="00FC2D2F" w:rsidP="00F515B5">
    <w:pPr>
      <w:jc w:val="center"/>
      <w:rPr>
        <w:rFonts w:eastAsia="Calibri"/>
        <w:i/>
        <w:iCs/>
        <w:sz w:val="18"/>
        <w:szCs w:val="18"/>
      </w:rPr>
    </w:pPr>
  </w:p>
  <w:p w:rsidR="00FC2D2F" w:rsidRDefault="00FC2D2F" w:rsidP="00F515B5">
    <w:pPr>
      <w:tabs>
        <w:tab w:val="center" w:pos="4536"/>
        <w:tab w:val="right" w:pos="9072"/>
      </w:tabs>
      <w:jc w:val="center"/>
    </w:pPr>
  </w:p>
  <w:p w:rsidR="00FC2D2F" w:rsidRPr="00F515B5" w:rsidRDefault="00FC2D2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877" w:rsidRDefault="00B84877" w:rsidP="00FF41A6">
      <w:r>
        <w:separator/>
      </w:r>
    </w:p>
  </w:footnote>
  <w:footnote w:type="continuationSeparator" w:id="0">
    <w:p w:rsidR="00B84877" w:rsidRDefault="00B8487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D2F" w:rsidRDefault="00FC2D2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C2D2F" w:rsidRPr="00426781" w:rsidRDefault="00FC2D2F" w:rsidP="00FF41A6">
    <w:pPr>
      <w:pStyle w:val="NoSpacing"/>
      <w:jc w:val="center"/>
      <w:rPr>
        <w:rFonts w:ascii="Tw Cen MT" w:hAnsi="Tw Cen MT"/>
      </w:rPr>
    </w:pPr>
  </w:p>
  <w:p w:rsidR="00FC2D2F" w:rsidRDefault="00FC2D2F" w:rsidP="00FF41A6">
    <w:pPr>
      <w:pStyle w:val="NoSpacing"/>
      <w:jc w:val="center"/>
      <w:rPr>
        <w:rFonts w:ascii="Tw Cen MT" w:hAnsi="Tw Cen MT"/>
      </w:rPr>
    </w:pPr>
  </w:p>
  <w:p w:rsidR="00FC2D2F" w:rsidRPr="00D104DB" w:rsidRDefault="00FC2D2F" w:rsidP="00FF41A6">
    <w:pPr>
      <w:pStyle w:val="NoSpacing"/>
      <w:jc w:val="center"/>
      <w:rPr>
        <w:sz w:val="16"/>
        <w:szCs w:val="16"/>
      </w:rPr>
    </w:pPr>
  </w:p>
  <w:p w:rsidR="00FC2D2F" w:rsidRDefault="00FC2D2F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E47"/>
    <w:multiLevelType w:val="hybridMultilevel"/>
    <w:tmpl w:val="9E5E16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730C3"/>
    <w:multiLevelType w:val="hybridMultilevel"/>
    <w:tmpl w:val="EC946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516B0"/>
    <w:rsid w:val="0009047C"/>
    <w:rsid w:val="00094E5E"/>
    <w:rsid w:val="000A78EE"/>
    <w:rsid w:val="000B7A8F"/>
    <w:rsid w:val="00136EEF"/>
    <w:rsid w:val="00183ACC"/>
    <w:rsid w:val="00266C96"/>
    <w:rsid w:val="00291FF6"/>
    <w:rsid w:val="002A346C"/>
    <w:rsid w:val="002B58CC"/>
    <w:rsid w:val="00320AF6"/>
    <w:rsid w:val="0038353D"/>
    <w:rsid w:val="00397A26"/>
    <w:rsid w:val="004038CE"/>
    <w:rsid w:val="00413297"/>
    <w:rsid w:val="00425DD9"/>
    <w:rsid w:val="004762E7"/>
    <w:rsid w:val="0048125F"/>
    <w:rsid w:val="00483B47"/>
    <w:rsid w:val="00487E9D"/>
    <w:rsid w:val="00492A19"/>
    <w:rsid w:val="004E0DFB"/>
    <w:rsid w:val="004E1488"/>
    <w:rsid w:val="005018C7"/>
    <w:rsid w:val="0055089C"/>
    <w:rsid w:val="00605562"/>
    <w:rsid w:val="006925A3"/>
    <w:rsid w:val="006A5983"/>
    <w:rsid w:val="006E396B"/>
    <w:rsid w:val="007571A5"/>
    <w:rsid w:val="007C421E"/>
    <w:rsid w:val="007F2AFE"/>
    <w:rsid w:val="008102ED"/>
    <w:rsid w:val="008536C3"/>
    <w:rsid w:val="008B1520"/>
    <w:rsid w:val="00915587"/>
    <w:rsid w:val="00946719"/>
    <w:rsid w:val="00962500"/>
    <w:rsid w:val="00991837"/>
    <w:rsid w:val="00A11F2B"/>
    <w:rsid w:val="00A15408"/>
    <w:rsid w:val="00A2726D"/>
    <w:rsid w:val="00A76F00"/>
    <w:rsid w:val="00AB3DCA"/>
    <w:rsid w:val="00AF6EEF"/>
    <w:rsid w:val="00B00E2E"/>
    <w:rsid w:val="00B511D7"/>
    <w:rsid w:val="00B625CF"/>
    <w:rsid w:val="00B75A57"/>
    <w:rsid w:val="00B84877"/>
    <w:rsid w:val="00B90949"/>
    <w:rsid w:val="00B91167"/>
    <w:rsid w:val="00BB7310"/>
    <w:rsid w:val="00BC18CE"/>
    <w:rsid w:val="00BD1ABF"/>
    <w:rsid w:val="00BE1C55"/>
    <w:rsid w:val="00C01DB1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C2D2F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8EDCEF-12DA-49BA-A0FA-42C1220F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1670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2023-09-18T22:30:00Z</dcterms:created>
  <dcterms:modified xsi:type="dcterms:W3CDTF">2023-09-18T22:30:00Z</dcterms:modified>
</cp:coreProperties>
</file>