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7401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5610F7" w:rsidRDefault="005610F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E0A8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pat-556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610F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7401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5610F7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axillaire droite à évolution progressive.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AE21A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AE21AF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AE21AF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AE21AF" w:rsidRDefault="00AE21AF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Petite opacité bien circonscrite régulière de situation rétro-aréolaire droite, sans signal calcique associé.</w:t>
      </w:r>
    </w:p>
    <w:p w:rsidR="00AE21AF" w:rsidRDefault="00AE21AF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 bénignes.</w:t>
      </w:r>
    </w:p>
    <w:p w:rsidR="00AE21AF" w:rsidRDefault="00AE21AF" w:rsidP="00AE21A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AE21AF" w:rsidRDefault="00AE21AF" w:rsidP="00AE21A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AE21AF" w:rsidRDefault="00AE21AF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055B1E" w:rsidRPr="00055B1E" w:rsidRDefault="00055B1E" w:rsidP="00055B1E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055B1E">
        <w:rPr>
          <w:rFonts w:ascii="Georgia" w:hAnsi="Georgia"/>
          <w:bCs/>
          <w:i/>
          <w:iCs/>
          <w:color w:val="000000"/>
          <w:sz w:val="24"/>
          <w:u w:val="single"/>
        </w:rPr>
        <w:t>Seins droit :</w:t>
      </w:r>
    </w:p>
    <w:p w:rsidR="00EB565C" w:rsidRDefault="006A4F54" w:rsidP="006A4F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6A4F54" w:rsidRDefault="006A4F54" w:rsidP="006A4F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formation rétro-aréolaire droite est kystique, à contenu transonore et net renforcement postérieur de 7.7mm.</w:t>
      </w:r>
    </w:p>
    <w:p w:rsidR="006A4F54" w:rsidRDefault="006A4F54" w:rsidP="006A4F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6A4F54" w:rsidRDefault="006A4F54" w:rsidP="006A4F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55B1E" w:rsidRDefault="00055B1E" w:rsidP="00055B1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axillaire droit retrouve une lipomastie simple.</w:t>
      </w:r>
    </w:p>
    <w:p w:rsidR="00EB565C" w:rsidRDefault="00EB565C" w:rsidP="00055B1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 axillaire </w:t>
      </w:r>
      <w:r w:rsidR="00055B1E">
        <w:rPr>
          <w:rFonts w:ascii="Georgia" w:hAnsi="Georgia"/>
          <w:bCs/>
          <w:color w:val="000000"/>
          <w:sz w:val="24"/>
        </w:rPr>
        <w:t xml:space="preserve">gauche </w:t>
      </w:r>
      <w:r>
        <w:rPr>
          <w:rFonts w:ascii="Georgia" w:hAnsi="Georgia"/>
          <w:bCs/>
          <w:color w:val="000000"/>
          <w:sz w:val="24"/>
        </w:rPr>
        <w:t>libre.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055B1E" w:rsidRDefault="00EB565C" w:rsidP="00055B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55B1E">
        <w:rPr>
          <w:rFonts w:ascii="Georgia" w:hAnsi="Georgia"/>
          <w:b/>
          <w:bCs/>
          <w:i/>
          <w:color w:val="000000"/>
          <w:sz w:val="24"/>
        </w:rPr>
        <w:t>en faveur d’un petit kyste rétro-aréolaire droit associé à des calcifications athéromateuses bénignes.</w:t>
      </w:r>
    </w:p>
    <w:p w:rsidR="00055B1E" w:rsidRDefault="00055B1E" w:rsidP="00055B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2 de l'ACR de façon bilatérale. 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055B1E" w:rsidRPr="00EB565C" w:rsidRDefault="00055B1E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6C3" w:rsidRDefault="005206C3" w:rsidP="00FF41A6">
      <w:r>
        <w:separator/>
      </w:r>
    </w:p>
  </w:endnote>
  <w:endnote w:type="continuationSeparator" w:id="0">
    <w:p w:rsidR="005206C3" w:rsidRDefault="005206C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6C3" w:rsidRDefault="005206C3" w:rsidP="00FF41A6">
      <w:r>
        <w:separator/>
      </w:r>
    </w:p>
  </w:footnote>
  <w:footnote w:type="continuationSeparator" w:id="0">
    <w:p w:rsidR="005206C3" w:rsidRDefault="005206C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0F0B"/>
    <w:multiLevelType w:val="hybridMultilevel"/>
    <w:tmpl w:val="B4EA1A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7650"/>
    <w:multiLevelType w:val="hybridMultilevel"/>
    <w:tmpl w:val="396C50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55B1E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8353D"/>
    <w:rsid w:val="00397A26"/>
    <w:rsid w:val="003B2EAC"/>
    <w:rsid w:val="003E0A81"/>
    <w:rsid w:val="004038CE"/>
    <w:rsid w:val="00413297"/>
    <w:rsid w:val="00425DD9"/>
    <w:rsid w:val="00483B47"/>
    <w:rsid w:val="00487E9D"/>
    <w:rsid w:val="004E0DFB"/>
    <w:rsid w:val="004E1488"/>
    <w:rsid w:val="005018C7"/>
    <w:rsid w:val="005206C3"/>
    <w:rsid w:val="0055089C"/>
    <w:rsid w:val="005610F7"/>
    <w:rsid w:val="006925A3"/>
    <w:rsid w:val="006A4F54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E21AF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4012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6672A5-1F67-4706-B0DD-BDEA68D0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