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C638E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31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802009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pat-563 42 ANS </w:t>
      </w:r>
    </w:p>
    <w:p w:rsidR="00EB2A23" w:rsidRDefault="00EB2A23">
      <w:pPr>
        <w:rPr>
          <w:b/>
          <w:color w:val="000000"/>
          <w:sz w:val="24"/>
        </w:rPr>
      </w:pPr>
    </w:p>
    <w:p w:rsidR="009B628D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C638E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9B628D" w:rsidRDefault="000A24F3" w:rsidP="00F17AF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</w:t>
      </w:r>
      <w:r w:rsidR="00F17AF6">
        <w:rPr>
          <w:bCs/>
          <w:color w:val="000000"/>
          <w:sz w:val="24"/>
        </w:rPr>
        <w:t xml:space="preserve"> denses hétérogènes type c</w:t>
      </w:r>
      <w:r w:rsidR="009B628D">
        <w:rPr>
          <w:bCs/>
          <w:color w:val="000000"/>
          <w:sz w:val="24"/>
        </w:rPr>
        <w:t xml:space="preserve"> de l’ACR.</w:t>
      </w:r>
    </w:p>
    <w:p w:rsidR="009B628D" w:rsidRDefault="009B628D" w:rsidP="000A24F3">
      <w:pPr>
        <w:rPr>
          <w:bCs/>
          <w:color w:val="000000"/>
          <w:sz w:val="24"/>
        </w:rPr>
      </w:pPr>
    </w:p>
    <w:p w:rsidR="009B628D" w:rsidRDefault="009B628D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ou d’image d’opacité nodulo-stellaire.</w:t>
      </w:r>
    </w:p>
    <w:p w:rsidR="009B628D" w:rsidRDefault="009B628D" w:rsidP="000A24F3">
      <w:pPr>
        <w:rPr>
          <w:bCs/>
          <w:color w:val="000000"/>
          <w:sz w:val="24"/>
        </w:rPr>
      </w:pPr>
    </w:p>
    <w:p w:rsidR="009B628D" w:rsidRDefault="009B628D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distorsion architecturale ou de foyer de micro-calcification péjoratif.</w:t>
      </w:r>
    </w:p>
    <w:p w:rsidR="009B628D" w:rsidRDefault="009B628D" w:rsidP="000A24F3">
      <w:pPr>
        <w:rPr>
          <w:bCs/>
          <w:color w:val="000000"/>
          <w:sz w:val="24"/>
        </w:rPr>
      </w:pPr>
    </w:p>
    <w:p w:rsidR="009B628D" w:rsidRDefault="009B628D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</w:t>
      </w:r>
      <w:r w:rsidR="00F17AF6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et micro-calcification</w:t>
      </w:r>
      <w:r w:rsidR="00F17AF6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punctiformes éparses bilatérales</w:t>
      </w:r>
      <w:r w:rsidR="00F17AF6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sans caractère groupé</w:t>
      </w:r>
      <w:r w:rsidR="00F17AF6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plus nombreuse</w:t>
      </w:r>
      <w:r w:rsidR="00F17AF6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à droite.</w:t>
      </w:r>
    </w:p>
    <w:p w:rsidR="009B628D" w:rsidRDefault="009B628D" w:rsidP="000A24F3">
      <w:pPr>
        <w:rPr>
          <w:bCs/>
          <w:color w:val="000000"/>
          <w:sz w:val="24"/>
        </w:rPr>
      </w:pPr>
    </w:p>
    <w:p w:rsidR="009B628D" w:rsidRDefault="009B628D" w:rsidP="009B628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9B628D" w:rsidRDefault="009B628D" w:rsidP="000A24F3">
      <w:pPr>
        <w:rPr>
          <w:bCs/>
          <w:color w:val="000000"/>
          <w:sz w:val="24"/>
        </w:rPr>
      </w:pPr>
    </w:p>
    <w:p w:rsidR="009B628D" w:rsidRDefault="009B628D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à centre clair.</w:t>
      </w:r>
    </w:p>
    <w:p w:rsidR="009B628D" w:rsidRDefault="009B628D" w:rsidP="000A24F3">
      <w:pPr>
        <w:rPr>
          <w:bCs/>
          <w:color w:val="000000"/>
          <w:sz w:val="24"/>
        </w:rPr>
      </w:pPr>
    </w:p>
    <w:p w:rsidR="000A24F3" w:rsidRDefault="009B628D" w:rsidP="009B628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    </w:t>
      </w: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9B628D" w:rsidRDefault="009B628D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9B628D" w:rsidRDefault="009B628D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</w:t>
      </w:r>
      <w:r w:rsidR="000E2C7A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de morphologie conservée, d’allure inflammatoire.</w:t>
      </w:r>
    </w:p>
    <w:p w:rsidR="000E2C7A" w:rsidRDefault="000E2C7A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9B6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et échographie mammaire </w:t>
      </w:r>
      <w:r w:rsidR="000E2C7A">
        <w:rPr>
          <w:b/>
          <w:bCs/>
          <w:i/>
          <w:color w:val="000000"/>
          <w:sz w:val="24"/>
        </w:rPr>
        <w:t xml:space="preserve">ne retrouvent pas de lésion péjorative </w:t>
      </w:r>
      <w:r w:rsidR="009B628D">
        <w:rPr>
          <w:b/>
          <w:bCs/>
          <w:i/>
          <w:color w:val="000000"/>
          <w:sz w:val="24"/>
        </w:rPr>
        <w:t>décelable ce jour : examen classé BI-RADS 2 d</w:t>
      </w:r>
      <w:r w:rsidR="00F85EBB">
        <w:rPr>
          <w:b/>
          <w:bCs/>
          <w:i/>
          <w:color w:val="000000"/>
          <w:sz w:val="24"/>
        </w:rPr>
        <w:t>e l’ACR (macro-calcifications</w:t>
      </w:r>
      <w:r w:rsidR="009B628D">
        <w:rPr>
          <w:b/>
          <w:bCs/>
          <w:i/>
          <w:color w:val="000000"/>
          <w:sz w:val="24"/>
        </w:rPr>
        <w:t xml:space="preserve"> dys</w:t>
      </w:r>
      <w:r w:rsidR="00F85EBB">
        <w:rPr>
          <w:b/>
          <w:bCs/>
          <w:i/>
          <w:color w:val="000000"/>
          <w:sz w:val="24"/>
        </w:rPr>
        <w:t xml:space="preserve">trophiques et micro-calcifications </w:t>
      </w:r>
      <w:r w:rsidR="009B628D">
        <w:rPr>
          <w:b/>
          <w:bCs/>
          <w:i/>
          <w:color w:val="000000"/>
          <w:sz w:val="24"/>
        </w:rPr>
        <w:t xml:space="preserve"> punctiformes éparses).</w:t>
      </w:r>
    </w:p>
    <w:p w:rsidR="000E2C7A" w:rsidRDefault="000E2C7A" w:rsidP="000E2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systématique est à prévoir dans deux ans dans le cadre de dépistage.</w:t>
      </w:r>
      <w:r>
        <w:rPr>
          <w:b/>
          <w:i/>
          <w:color w:val="000000"/>
          <w:sz w:val="24"/>
          <w:szCs w:val="24"/>
        </w:rPr>
        <w:t xml:space="preserve">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6D9" w:rsidRDefault="002A56D9" w:rsidP="00FF41A6">
      <w:r>
        <w:separator/>
      </w:r>
    </w:p>
  </w:endnote>
  <w:endnote w:type="continuationSeparator" w:id="0">
    <w:p w:rsidR="002A56D9" w:rsidRDefault="002A56D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28D" w:rsidRDefault="009B628D" w:rsidP="00F515B5">
    <w:pPr>
      <w:jc w:val="center"/>
      <w:rPr>
        <w:rFonts w:eastAsia="Calibri"/>
        <w:i/>
        <w:iCs/>
        <w:sz w:val="18"/>
        <w:szCs w:val="18"/>
      </w:rPr>
    </w:pPr>
  </w:p>
  <w:p w:rsidR="009B628D" w:rsidRDefault="009B628D" w:rsidP="00F515B5">
    <w:pPr>
      <w:tabs>
        <w:tab w:val="center" w:pos="4536"/>
        <w:tab w:val="right" w:pos="9072"/>
      </w:tabs>
      <w:jc w:val="center"/>
    </w:pPr>
  </w:p>
  <w:p w:rsidR="009B628D" w:rsidRPr="00F515B5" w:rsidRDefault="009B628D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6D9" w:rsidRDefault="002A56D9" w:rsidP="00FF41A6">
      <w:r>
        <w:separator/>
      </w:r>
    </w:p>
  </w:footnote>
  <w:footnote w:type="continuationSeparator" w:id="0">
    <w:p w:rsidR="002A56D9" w:rsidRDefault="002A56D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28D" w:rsidRDefault="009B628D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B628D" w:rsidRPr="00426781" w:rsidRDefault="009B628D" w:rsidP="00FF41A6">
    <w:pPr>
      <w:pStyle w:val="NoSpacing"/>
      <w:jc w:val="center"/>
      <w:rPr>
        <w:rFonts w:ascii="Tw Cen MT" w:hAnsi="Tw Cen MT"/>
      </w:rPr>
    </w:pPr>
  </w:p>
  <w:p w:rsidR="009B628D" w:rsidRDefault="009B628D" w:rsidP="00FF41A6">
    <w:pPr>
      <w:pStyle w:val="NoSpacing"/>
      <w:jc w:val="center"/>
      <w:rPr>
        <w:rFonts w:ascii="Tw Cen MT" w:hAnsi="Tw Cen MT"/>
      </w:rPr>
    </w:pPr>
  </w:p>
  <w:p w:rsidR="009B628D" w:rsidRPr="00D104DB" w:rsidRDefault="009B628D" w:rsidP="00FF41A6">
    <w:pPr>
      <w:pStyle w:val="NoSpacing"/>
      <w:jc w:val="center"/>
      <w:rPr>
        <w:sz w:val="16"/>
        <w:szCs w:val="16"/>
      </w:rPr>
    </w:pPr>
  </w:p>
  <w:p w:rsidR="009B628D" w:rsidRDefault="009B628D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0E2C7A"/>
    <w:rsid w:val="00136EEF"/>
    <w:rsid w:val="00266C96"/>
    <w:rsid w:val="00291FF6"/>
    <w:rsid w:val="002A56D9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6925A3"/>
    <w:rsid w:val="006A5983"/>
    <w:rsid w:val="006E396B"/>
    <w:rsid w:val="007571A5"/>
    <w:rsid w:val="007F2AFE"/>
    <w:rsid w:val="00802009"/>
    <w:rsid w:val="008B1520"/>
    <w:rsid w:val="00915587"/>
    <w:rsid w:val="00991837"/>
    <w:rsid w:val="009B628D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638EE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17AF6"/>
    <w:rsid w:val="00F2435A"/>
    <w:rsid w:val="00F45755"/>
    <w:rsid w:val="00F515B5"/>
    <w:rsid w:val="00F7627E"/>
    <w:rsid w:val="00F85EBB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33B169-CFE0-4E64-BDF9-F7B32C00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1152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2023-09-18T22:33:00Z</dcterms:created>
  <dcterms:modified xsi:type="dcterms:W3CDTF">2023-09-18T22:33:00Z</dcterms:modified>
</cp:coreProperties>
</file>