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371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D01C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E4E5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pat-572 48 ANS </w:t>
      </w:r>
    </w:p>
    <w:p w:rsidR="00EB2A23" w:rsidRDefault="009D01C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371F3" w:rsidRDefault="000371F3" w:rsidP="008E1FF8">
      <w:pPr>
        <w:rPr>
          <w:bCs/>
          <w:color w:val="000000"/>
          <w:sz w:val="24"/>
        </w:rPr>
      </w:pPr>
    </w:p>
    <w:p w:rsidR="000371F3" w:rsidRDefault="000371F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gauche ronde.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0371F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anéchogène homogène.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0371F3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graisseux, d’allure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371F3">
        <w:rPr>
          <w:b/>
          <w:bCs/>
          <w:i/>
          <w:color w:val="000000"/>
          <w:sz w:val="24"/>
        </w:rPr>
        <w:t>en faveur d’une ectasie canalaire bilatérale simple.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371F3">
        <w:rPr>
          <w:b/>
          <w:bCs/>
          <w:i/>
          <w:color w:val="000000"/>
          <w:sz w:val="24"/>
        </w:rPr>
        <w:t>2 de l’ACR à droite comme à gauche.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619" w:rsidRDefault="00D74619" w:rsidP="00FF41A6">
      <w:r>
        <w:separator/>
      </w:r>
    </w:p>
  </w:endnote>
  <w:endnote w:type="continuationSeparator" w:id="0">
    <w:p w:rsidR="00D74619" w:rsidRDefault="00D7461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619" w:rsidRDefault="00D74619" w:rsidP="00FF41A6">
      <w:r>
        <w:separator/>
      </w:r>
    </w:p>
  </w:footnote>
  <w:footnote w:type="continuationSeparator" w:id="0">
    <w:p w:rsidR="00D74619" w:rsidRDefault="00D7461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71F3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4D99"/>
    <w:rsid w:val="005E4E51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9D01C9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4619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8DE14-B9F9-4747-89C7-2EB1D1C1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Mamm2</dc:creator>
  <cp:keywords/>
  <dc:description/>
  <cp:lastModifiedBy>PC-RAYANE</cp:lastModifiedBy>
  <cp:revision>2</cp:revision>
  <cp:lastPrinted>2023-05-28T13:07:00Z</cp:lastPrinted>
  <dcterms:created xsi:type="dcterms:W3CDTF">2023-09-18T22:34:00Z</dcterms:created>
  <dcterms:modified xsi:type="dcterms:W3CDTF">2023-09-18T22:34:00Z</dcterms:modified>
</cp:coreProperties>
</file>