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C53885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13 juin 2023</w:t>
      </w:r>
    </w:p>
    <w:p w:rsidR="009B37E1" w:rsidRDefault="009B37E1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850C5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pat-574 52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BC18CE" w:rsidP="00EC30F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C53885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40DA6" w:rsidRDefault="00040DA6">
      <w:pPr>
        <w:rPr>
          <w:b/>
          <w:color w:val="000000"/>
          <w:sz w:val="24"/>
        </w:rPr>
      </w:pPr>
    </w:p>
    <w:p w:rsidR="00040DA6" w:rsidRDefault="00040DA6" w:rsidP="00251495">
      <w:pPr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 :</w:t>
      </w:r>
    </w:p>
    <w:p w:rsidR="00183ACC" w:rsidRDefault="00183ACC" w:rsidP="00EC30FE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9B37E1" w:rsidRDefault="009B37E1" w:rsidP="00EC30FE">
      <w:pPr>
        <w:rPr>
          <w:sz w:val="24"/>
          <w:szCs w:val="24"/>
        </w:rPr>
      </w:pPr>
      <w:r>
        <w:rPr>
          <w:sz w:val="24"/>
          <w:szCs w:val="24"/>
        </w:rPr>
        <w:t xml:space="preserve">Présence au niveau du sein gauche de plusieurs foyers de fines </w:t>
      </w:r>
      <w:r w:rsidR="00040DA6">
        <w:rPr>
          <w:sz w:val="24"/>
          <w:szCs w:val="24"/>
        </w:rPr>
        <w:t>micro-</w:t>
      </w:r>
      <w:r>
        <w:rPr>
          <w:sz w:val="24"/>
          <w:szCs w:val="24"/>
        </w:rPr>
        <w:t>calcifications punctiformes régulières, sans opacité en regard.</w:t>
      </w:r>
    </w:p>
    <w:p w:rsidR="00183ACC" w:rsidRDefault="009B37E1" w:rsidP="009B37E1">
      <w:pPr>
        <w:rPr>
          <w:sz w:val="24"/>
          <w:szCs w:val="24"/>
        </w:rPr>
      </w:pPr>
      <w:r>
        <w:rPr>
          <w:sz w:val="24"/>
          <w:szCs w:val="24"/>
        </w:rPr>
        <w:t xml:space="preserve">Absence de désorganisation architecturale.  </w:t>
      </w:r>
    </w:p>
    <w:p w:rsidR="00183ACC" w:rsidRDefault="00183ACC" w:rsidP="00183ACC">
      <w:pPr>
        <w:rPr>
          <w:sz w:val="24"/>
          <w:szCs w:val="24"/>
        </w:rPr>
      </w:pPr>
    </w:p>
    <w:p w:rsidR="009C741A" w:rsidRDefault="00183ACC" w:rsidP="00183AC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Le complément échographique</w:t>
      </w:r>
      <w:r w:rsidR="009C741A">
        <w:rPr>
          <w:b/>
          <w:i/>
          <w:sz w:val="24"/>
          <w:szCs w:val="24"/>
        </w:rPr>
        <w:t xml:space="preserve"> ; </w:t>
      </w:r>
    </w:p>
    <w:p w:rsidR="009C741A" w:rsidRPr="009C741A" w:rsidRDefault="009C741A" w:rsidP="009C741A">
      <w:pPr>
        <w:numPr>
          <w:ilvl w:val="0"/>
          <w:numId w:val="1"/>
        </w:numPr>
        <w:jc w:val="both"/>
        <w:rPr>
          <w:sz w:val="24"/>
          <w:szCs w:val="24"/>
        </w:rPr>
      </w:pPr>
      <w:r w:rsidRPr="009C741A">
        <w:rPr>
          <w:b/>
          <w:i/>
          <w:sz w:val="24"/>
          <w:szCs w:val="24"/>
        </w:rPr>
        <w:t>Sein gauche</w:t>
      </w:r>
      <w:r>
        <w:rPr>
          <w:b/>
          <w:i/>
          <w:sz w:val="24"/>
          <w:szCs w:val="24"/>
        </w:rPr>
        <w:t xml:space="preserve"> : </w:t>
      </w:r>
    </w:p>
    <w:p w:rsidR="00884F53" w:rsidRDefault="009C741A" w:rsidP="00251495">
      <w:pPr>
        <w:jc w:val="both"/>
        <w:rPr>
          <w:sz w:val="24"/>
          <w:szCs w:val="24"/>
        </w:rPr>
      </w:pPr>
      <w:r w:rsidRPr="009C741A">
        <w:rPr>
          <w:sz w:val="24"/>
          <w:szCs w:val="24"/>
        </w:rPr>
        <w:t>Mise en évidence de deux foyers d’atténuation</w:t>
      </w:r>
      <w:r>
        <w:rPr>
          <w:sz w:val="24"/>
          <w:szCs w:val="24"/>
        </w:rPr>
        <w:t xml:space="preserve"> du faisceau ultrasonore en projection du QSI, l’un au niveau du rayon de 11h mesuré à </w:t>
      </w:r>
      <w:r w:rsidR="00251495">
        <w:rPr>
          <w:sz w:val="24"/>
          <w:szCs w:val="24"/>
        </w:rPr>
        <w:t>12x11mm,</w:t>
      </w:r>
      <w:r w:rsidR="00884F53">
        <w:rPr>
          <w:sz w:val="24"/>
          <w:szCs w:val="24"/>
        </w:rPr>
        <w:t xml:space="preserve"> à environ </w:t>
      </w:r>
      <w:r w:rsidR="00251495">
        <w:rPr>
          <w:sz w:val="24"/>
          <w:szCs w:val="24"/>
        </w:rPr>
        <w:t xml:space="preserve">45mm par rapport au mamelon, </w:t>
      </w:r>
      <w:r w:rsidR="00884F53">
        <w:rPr>
          <w:sz w:val="24"/>
          <w:szCs w:val="24"/>
        </w:rPr>
        <w:t xml:space="preserve">l’autre situé à l’union des quadrants supérieurs mesuré à </w:t>
      </w:r>
      <w:r w:rsidR="00251495">
        <w:rPr>
          <w:sz w:val="24"/>
          <w:szCs w:val="24"/>
        </w:rPr>
        <w:t>8x6mm</w:t>
      </w:r>
      <w:r w:rsidR="00884F53">
        <w:rPr>
          <w:sz w:val="24"/>
          <w:szCs w:val="24"/>
        </w:rPr>
        <w:t>.</w:t>
      </w:r>
    </w:p>
    <w:p w:rsidR="009C741A" w:rsidRDefault="00884F53" w:rsidP="002514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deux foyers d’atténuation sont distant l’un de l’autre de </w:t>
      </w:r>
      <w:r w:rsidR="00251495">
        <w:rPr>
          <w:sz w:val="24"/>
          <w:szCs w:val="24"/>
        </w:rPr>
        <w:t>6mm.</w:t>
      </w:r>
      <w:r>
        <w:rPr>
          <w:sz w:val="24"/>
          <w:szCs w:val="24"/>
        </w:rPr>
        <w:t xml:space="preserve"> </w:t>
      </w:r>
    </w:p>
    <w:p w:rsidR="00884F53" w:rsidRDefault="00884F53" w:rsidP="00884F53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4F42F8" w:rsidRDefault="004F42F8" w:rsidP="004F42F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8A1D21" w:rsidRDefault="008A1D21" w:rsidP="009C741A">
      <w:pPr>
        <w:jc w:val="both"/>
        <w:rPr>
          <w:sz w:val="24"/>
          <w:szCs w:val="24"/>
        </w:rPr>
      </w:pPr>
    </w:p>
    <w:p w:rsidR="00183ACC" w:rsidRPr="008A1D21" w:rsidRDefault="008A1D21" w:rsidP="008A1D21">
      <w:pPr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8A1D21">
        <w:rPr>
          <w:b/>
          <w:bCs/>
          <w:i/>
          <w:iCs/>
          <w:sz w:val="24"/>
          <w:szCs w:val="24"/>
        </w:rPr>
        <w:t xml:space="preserve">Sein droit : </w:t>
      </w:r>
      <w:r w:rsidR="009C741A" w:rsidRPr="008A1D21">
        <w:rPr>
          <w:b/>
          <w:bCs/>
          <w:i/>
          <w:iCs/>
          <w:sz w:val="24"/>
          <w:szCs w:val="24"/>
        </w:rPr>
        <w:t xml:space="preserve">  </w:t>
      </w:r>
    </w:p>
    <w:p w:rsidR="008A1D21" w:rsidRDefault="008A1D21" w:rsidP="008A1D21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de syndrome de masse solide ou kystique.</w:t>
      </w:r>
    </w:p>
    <w:p w:rsidR="008A1D21" w:rsidRDefault="008A1D21" w:rsidP="008A1D21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8A1D21" w:rsidRDefault="008A1D21" w:rsidP="008A1D21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8A1D21" w:rsidRDefault="008A1D21" w:rsidP="008A1D21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251495" w:rsidRDefault="00251495" w:rsidP="008A1D21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251495" w:rsidRDefault="00251495" w:rsidP="002514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Ganglions axillaires bilatéraux à centre graisseux, d'allure inflammatoire. 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EC30FE" w:rsidRDefault="00183ACC" w:rsidP="00251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8A1D21">
        <w:rPr>
          <w:b/>
          <w:i/>
          <w:sz w:val="24"/>
          <w:szCs w:val="24"/>
        </w:rPr>
        <w:t xml:space="preserve">en rapport avec plusieurs foyers de micro-calcifications du sein gauche, associés échographiquement à deux foyers </w:t>
      </w:r>
      <w:r w:rsidR="00251495">
        <w:rPr>
          <w:b/>
          <w:i/>
          <w:sz w:val="24"/>
          <w:szCs w:val="24"/>
        </w:rPr>
        <w:t>lésionnels atténuants</w:t>
      </w:r>
      <w:r w:rsidR="00EC30FE">
        <w:rPr>
          <w:b/>
          <w:i/>
          <w:sz w:val="24"/>
          <w:szCs w:val="24"/>
        </w:rPr>
        <w:t>, dont une vérification</w:t>
      </w:r>
      <w:r w:rsidR="00251495">
        <w:rPr>
          <w:b/>
          <w:i/>
          <w:sz w:val="24"/>
          <w:szCs w:val="24"/>
        </w:rPr>
        <w:t xml:space="preserve"> histologique</w:t>
      </w:r>
      <w:r w:rsidR="00EC30FE">
        <w:rPr>
          <w:b/>
          <w:i/>
          <w:sz w:val="24"/>
          <w:szCs w:val="24"/>
        </w:rPr>
        <w:t xml:space="preserve"> serait souhaitable.</w:t>
      </w:r>
    </w:p>
    <w:p w:rsidR="00183ACC" w:rsidRDefault="00EC30FE" w:rsidP="00251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4 de l'ACR à gauche et BI-RADS </w:t>
      </w:r>
      <w:r w:rsidR="00251495">
        <w:rPr>
          <w:b/>
          <w:i/>
          <w:sz w:val="24"/>
          <w:szCs w:val="24"/>
        </w:rPr>
        <w:t>1</w:t>
      </w:r>
      <w:r>
        <w:rPr>
          <w:b/>
          <w:i/>
          <w:sz w:val="24"/>
          <w:szCs w:val="24"/>
        </w:rPr>
        <w:t xml:space="preserve"> de l'ACR à droite.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A44E68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  </w:t>
      </w:r>
    </w:p>
    <w:sectPr w:rsidR="00A44E68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1A7" w:rsidRDefault="00BF01A7" w:rsidP="00FF41A6">
      <w:r>
        <w:separator/>
      </w:r>
    </w:p>
  </w:endnote>
  <w:endnote w:type="continuationSeparator" w:id="0">
    <w:p w:rsidR="00BF01A7" w:rsidRDefault="00BF01A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DA6" w:rsidRDefault="00040DA6" w:rsidP="00F515B5">
    <w:pPr>
      <w:jc w:val="center"/>
      <w:rPr>
        <w:rFonts w:eastAsia="Calibri"/>
        <w:i/>
        <w:iCs/>
        <w:sz w:val="18"/>
        <w:szCs w:val="18"/>
      </w:rPr>
    </w:pPr>
  </w:p>
  <w:p w:rsidR="00040DA6" w:rsidRDefault="00040DA6" w:rsidP="00F515B5">
    <w:pPr>
      <w:tabs>
        <w:tab w:val="center" w:pos="4536"/>
        <w:tab w:val="right" w:pos="9072"/>
      </w:tabs>
      <w:jc w:val="center"/>
    </w:pPr>
  </w:p>
  <w:p w:rsidR="00040DA6" w:rsidRPr="00F515B5" w:rsidRDefault="00040DA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1A7" w:rsidRDefault="00BF01A7" w:rsidP="00FF41A6">
      <w:r>
        <w:separator/>
      </w:r>
    </w:p>
  </w:footnote>
  <w:footnote w:type="continuationSeparator" w:id="0">
    <w:p w:rsidR="00BF01A7" w:rsidRDefault="00BF01A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DA6" w:rsidRDefault="00040DA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40DA6" w:rsidRPr="00426781" w:rsidRDefault="00040DA6" w:rsidP="00FF41A6">
    <w:pPr>
      <w:pStyle w:val="NoSpacing"/>
      <w:jc w:val="center"/>
      <w:rPr>
        <w:rFonts w:ascii="Tw Cen MT" w:hAnsi="Tw Cen MT"/>
      </w:rPr>
    </w:pPr>
  </w:p>
  <w:p w:rsidR="00040DA6" w:rsidRDefault="00040DA6" w:rsidP="00FF41A6">
    <w:pPr>
      <w:pStyle w:val="NoSpacing"/>
      <w:jc w:val="center"/>
      <w:rPr>
        <w:rFonts w:ascii="Tw Cen MT" w:hAnsi="Tw Cen MT"/>
      </w:rPr>
    </w:pPr>
  </w:p>
  <w:p w:rsidR="00040DA6" w:rsidRPr="00D104DB" w:rsidRDefault="00040DA6" w:rsidP="00FF41A6">
    <w:pPr>
      <w:pStyle w:val="NoSpacing"/>
      <w:jc w:val="center"/>
      <w:rPr>
        <w:sz w:val="16"/>
        <w:szCs w:val="16"/>
      </w:rPr>
    </w:pPr>
  </w:p>
  <w:p w:rsidR="00040DA6" w:rsidRDefault="00040DA6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87806"/>
    <w:multiLevelType w:val="hybridMultilevel"/>
    <w:tmpl w:val="863C4ED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40DA6"/>
    <w:rsid w:val="00094E5E"/>
    <w:rsid w:val="000A78EE"/>
    <w:rsid w:val="000B7A8F"/>
    <w:rsid w:val="00136EEF"/>
    <w:rsid w:val="00183ACC"/>
    <w:rsid w:val="00230C05"/>
    <w:rsid w:val="00251495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F42F8"/>
    <w:rsid w:val="005018C7"/>
    <w:rsid w:val="0055089C"/>
    <w:rsid w:val="006925A3"/>
    <w:rsid w:val="006A5983"/>
    <w:rsid w:val="006E396B"/>
    <w:rsid w:val="007571A5"/>
    <w:rsid w:val="007F2AFE"/>
    <w:rsid w:val="00850C58"/>
    <w:rsid w:val="008536C3"/>
    <w:rsid w:val="00884F53"/>
    <w:rsid w:val="008A1D21"/>
    <w:rsid w:val="008B1520"/>
    <w:rsid w:val="00915587"/>
    <w:rsid w:val="00991837"/>
    <w:rsid w:val="009B37E1"/>
    <w:rsid w:val="009C741A"/>
    <w:rsid w:val="00A11F2B"/>
    <w:rsid w:val="00A44E68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BF01A7"/>
    <w:rsid w:val="00C32E1C"/>
    <w:rsid w:val="00C53885"/>
    <w:rsid w:val="00C7676D"/>
    <w:rsid w:val="00CD057F"/>
    <w:rsid w:val="00D159C3"/>
    <w:rsid w:val="00DC7E65"/>
    <w:rsid w:val="00DE2934"/>
    <w:rsid w:val="00DE3E17"/>
    <w:rsid w:val="00DF04C7"/>
    <w:rsid w:val="00E25639"/>
    <w:rsid w:val="00E31EF8"/>
    <w:rsid w:val="00EB2A23"/>
    <w:rsid w:val="00EC30FE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4F1126-AE67-48BD-8D66-E78962A7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1363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2023-06-13T12:07:00Z</cp:lastPrinted>
  <dcterms:created xsi:type="dcterms:W3CDTF">2023-09-18T22:34:00Z</dcterms:created>
  <dcterms:modified xsi:type="dcterms:W3CDTF">2023-09-18T22:34:00Z</dcterms:modified>
</cp:coreProperties>
</file>