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8600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1755E" w:rsidRDefault="00B1755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6268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pat-63 46 ANS </w:t>
      </w:r>
    </w:p>
    <w:p w:rsidR="00EB2A23" w:rsidRDefault="00EB2A23">
      <w:pPr>
        <w:rPr>
          <w:b/>
          <w:color w:val="000000"/>
          <w:sz w:val="24"/>
        </w:rPr>
      </w:pPr>
    </w:p>
    <w:p w:rsidR="00B1755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86000" w:rsidP="00B1755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631A6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631A68">
        <w:rPr>
          <w:rFonts w:ascii="Georgia" w:hAnsi="Georgia"/>
          <w:bCs/>
          <w:color w:val="000000"/>
          <w:sz w:val="24"/>
        </w:rPr>
        <w:t>à trame conjonctivo-graisseuse hétérogène</w:t>
      </w:r>
      <w:r>
        <w:rPr>
          <w:rFonts w:ascii="Georgia" w:hAnsi="Georgia"/>
          <w:bCs/>
          <w:color w:val="000000"/>
          <w:sz w:val="24"/>
        </w:rPr>
        <w:t xml:space="preserve">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0B124A" w:rsidRDefault="00567308" w:rsidP="000B124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0B124A">
        <w:rPr>
          <w:rFonts w:ascii="Georgia" w:hAnsi="Georgia"/>
          <w:bCs/>
          <w:color w:val="000000"/>
          <w:sz w:val="24"/>
        </w:rPr>
        <w:t>droits.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0B124A" w:rsidP="000B124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d’adénopathies axillaires, hormis quelques g</w:t>
      </w:r>
      <w:r w:rsidR="00567308">
        <w:rPr>
          <w:rFonts w:ascii="Georgia" w:hAnsi="Georgia"/>
          <w:bCs/>
          <w:color w:val="000000"/>
          <w:sz w:val="24"/>
        </w:rPr>
        <w:t xml:space="preserve">anglions axillaires bilatéraux, </w:t>
      </w:r>
      <w:r>
        <w:rPr>
          <w:rFonts w:ascii="Georgia" w:hAnsi="Georgia"/>
          <w:bCs/>
          <w:color w:val="000000"/>
          <w:sz w:val="24"/>
        </w:rPr>
        <w:t>de morphologie conservée</w:t>
      </w:r>
      <w:r w:rsidR="00567308">
        <w:rPr>
          <w:rFonts w:ascii="Georgia" w:hAnsi="Georgia"/>
          <w:bCs/>
          <w:color w:val="000000"/>
          <w:sz w:val="24"/>
        </w:rPr>
        <w:t xml:space="preserve">, d’allure </w:t>
      </w:r>
      <w:r w:rsidR="005667AF">
        <w:rPr>
          <w:rFonts w:ascii="Georgia" w:hAnsi="Georgia"/>
          <w:bCs/>
          <w:color w:val="000000"/>
          <w:sz w:val="24"/>
        </w:rPr>
        <w:t xml:space="preserve">réactionnelle </w:t>
      </w:r>
      <w:r w:rsidR="00567308">
        <w:rPr>
          <w:rFonts w:ascii="Georgia" w:hAnsi="Georgia"/>
          <w:bCs/>
          <w:color w:val="000000"/>
          <w:sz w:val="24"/>
        </w:rPr>
        <w:t>inflammatoire.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67AF" w:rsidRDefault="00567308" w:rsidP="005667A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667AF">
        <w:rPr>
          <w:rFonts w:ascii="Georgia" w:hAnsi="Georgia"/>
          <w:b/>
          <w:bCs/>
          <w:i/>
          <w:color w:val="000000"/>
          <w:sz w:val="24"/>
        </w:rPr>
        <w:t>n’objective pas de lésion focale péjorative.</w:t>
      </w:r>
    </w:p>
    <w:p w:rsidR="005667AF" w:rsidRDefault="005667AF" w:rsidP="005667A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1 de l'ACR de façon bilatérale. 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B1755E" w:rsidRDefault="00B1755E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C95" w:rsidRDefault="00764C95" w:rsidP="00FF41A6">
      <w:r>
        <w:separator/>
      </w:r>
    </w:p>
  </w:endnote>
  <w:endnote w:type="continuationSeparator" w:id="0">
    <w:p w:rsidR="00764C95" w:rsidRDefault="00764C9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C95" w:rsidRDefault="00764C95" w:rsidP="00FF41A6">
      <w:r>
        <w:separator/>
      </w:r>
    </w:p>
  </w:footnote>
  <w:footnote w:type="continuationSeparator" w:id="0">
    <w:p w:rsidR="00764C95" w:rsidRDefault="00764C9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124A"/>
    <w:rsid w:val="000B7A8F"/>
    <w:rsid w:val="00136EEF"/>
    <w:rsid w:val="00215563"/>
    <w:rsid w:val="00266C96"/>
    <w:rsid w:val="00271C54"/>
    <w:rsid w:val="00286000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67AF"/>
    <w:rsid w:val="00567308"/>
    <w:rsid w:val="00631A68"/>
    <w:rsid w:val="006925A3"/>
    <w:rsid w:val="006A5983"/>
    <w:rsid w:val="006E396B"/>
    <w:rsid w:val="007571A5"/>
    <w:rsid w:val="00764C9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1755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62689"/>
    <w:rsid w:val="00EB2A23"/>
    <w:rsid w:val="00EE4ACF"/>
    <w:rsid w:val="00F3142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90883B-4CAC-4D1A-B502-B16989EC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