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4469DD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8C4519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pat-634 41 ANS </w:t>
      </w:r>
    </w:p>
    <w:p w:rsidR="00EB2A23" w:rsidRDefault="004469DD" w:rsidP="009640D9">
      <w:pPr>
        <w:pBdr>
          <w:top w:val="single" w:sz="6" w:space="0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40D9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Exploration d’une mastodynie.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40D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9640D9">
        <w:rPr>
          <w:rFonts w:ascii="Georgia" w:hAnsi="Georgia"/>
          <w:bCs/>
          <w:color w:val="000000"/>
          <w:sz w:val="24"/>
        </w:rPr>
        <w:t xml:space="preserve">denses homogènes </w:t>
      </w:r>
      <w:r>
        <w:rPr>
          <w:rFonts w:ascii="Georgia" w:hAnsi="Georgia"/>
          <w:bCs/>
          <w:color w:val="000000"/>
          <w:sz w:val="24"/>
        </w:rPr>
        <w:t xml:space="preserve"> type b de l’ACR. </w:t>
      </w:r>
    </w:p>
    <w:p w:rsidR="009640D9" w:rsidRDefault="009640D9" w:rsidP="009640D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40D9" w:rsidRDefault="009640D9" w:rsidP="009640D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40D9" w:rsidRDefault="009640D9" w:rsidP="009640D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dégagée.</w:t>
      </w:r>
    </w:p>
    <w:p w:rsidR="009640D9" w:rsidRDefault="009640D9" w:rsidP="009640D9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5270D" w:rsidP="0095270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96769E">
        <w:rPr>
          <w:rFonts w:ascii="Georgia" w:hAnsi="Georgia"/>
          <w:bCs/>
          <w:color w:val="000000"/>
          <w:sz w:val="24"/>
        </w:rPr>
        <w:t>conjonctivo-glandulaire.</w:t>
      </w:r>
    </w:p>
    <w:p w:rsidR="0095270D" w:rsidRDefault="0095270D" w:rsidP="0095270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lésions micro kystiques simples au contenu transonore et net renforcement postérieur et pour cibles :</w:t>
      </w:r>
    </w:p>
    <w:p w:rsidR="006659CD" w:rsidRDefault="006659CD" w:rsidP="0095270D">
      <w:pPr>
        <w:ind w:left="720"/>
        <w:rPr>
          <w:rFonts w:ascii="Georgia" w:hAnsi="Georgia"/>
          <w:bCs/>
          <w:color w:val="000000"/>
          <w:sz w:val="24"/>
        </w:rPr>
      </w:pPr>
    </w:p>
    <w:p w:rsidR="0095270D" w:rsidRDefault="0095270D" w:rsidP="0095270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*le quadrant inféro externe gauche de 5,3x2,5 mm.</w:t>
      </w:r>
    </w:p>
    <w:p w:rsidR="0095270D" w:rsidRDefault="0095270D" w:rsidP="0095270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*le quadrant supéro interne gauche </w:t>
      </w:r>
      <w:r w:rsidR="006659CD">
        <w:rPr>
          <w:rFonts w:ascii="Georgia" w:hAnsi="Georgia"/>
          <w:bCs/>
          <w:color w:val="000000"/>
          <w:sz w:val="24"/>
        </w:rPr>
        <w:t>de 3,7x2,4 mm.</w:t>
      </w:r>
    </w:p>
    <w:p w:rsidR="006659CD" w:rsidRDefault="006659CD" w:rsidP="0095270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*le quadrant inféro interne gauche  de 4x3 mm.</w:t>
      </w:r>
    </w:p>
    <w:p w:rsidR="006659CD" w:rsidRDefault="006659CD" w:rsidP="0095270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*le quadrant médio supérieur droit de 5,5x2,5 mm.</w:t>
      </w:r>
    </w:p>
    <w:p w:rsidR="006659CD" w:rsidRDefault="006659CD" w:rsidP="0095270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*le quadrant supéro interne droit de 3x2 mm.</w:t>
      </w:r>
    </w:p>
    <w:p w:rsidR="006659CD" w:rsidRDefault="006659CD" w:rsidP="006659C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*le quadrant supéro externe droit de 3x1,8 mm.</w:t>
      </w:r>
    </w:p>
    <w:p w:rsidR="006659CD" w:rsidRDefault="006659CD" w:rsidP="006659C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*le quadrant inféro externe droit de 5,6x3 mm.</w:t>
      </w:r>
    </w:p>
    <w:p w:rsidR="006659CD" w:rsidRDefault="006659CD" w:rsidP="006659CD">
      <w:pPr>
        <w:ind w:left="720" w:firstLine="696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</w:t>
      </w:r>
    </w:p>
    <w:p w:rsidR="006659CD" w:rsidRDefault="006659C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6659CD" w:rsidRDefault="006659CD" w:rsidP="006659C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6659CD" w:rsidRDefault="006659C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6659CD" w:rsidRDefault="006659CD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6659CD" w:rsidRDefault="0096769E" w:rsidP="006659C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6659CD">
        <w:rPr>
          <w:rFonts w:ascii="Georgia" w:hAnsi="Georgia"/>
          <w:b/>
          <w:bCs/>
          <w:i/>
          <w:color w:val="000000"/>
          <w:sz w:val="24"/>
        </w:rPr>
        <w:t>en faveur d’une mastopathie fibro kystique simple faisant classer l’examen BI-RADS 2 de l'ACR.</w:t>
      </w:r>
    </w:p>
    <w:p w:rsidR="006659CD" w:rsidRDefault="006659CD" w:rsidP="006659C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6 mois.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723" w:rsidRDefault="00D01723" w:rsidP="00FF41A6">
      <w:r>
        <w:separator/>
      </w:r>
    </w:p>
  </w:endnote>
  <w:endnote w:type="continuationSeparator" w:id="0">
    <w:p w:rsidR="00D01723" w:rsidRDefault="00D0172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723" w:rsidRDefault="00D01723" w:rsidP="00FF41A6">
      <w:r>
        <w:separator/>
      </w:r>
    </w:p>
  </w:footnote>
  <w:footnote w:type="continuationSeparator" w:id="0">
    <w:p w:rsidR="00D01723" w:rsidRDefault="00D0172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22A8"/>
    <w:rsid w:val="00094E5E"/>
    <w:rsid w:val="000A78EE"/>
    <w:rsid w:val="000B7A8F"/>
    <w:rsid w:val="00136EEF"/>
    <w:rsid w:val="00266C96"/>
    <w:rsid w:val="002B58CC"/>
    <w:rsid w:val="00320AF6"/>
    <w:rsid w:val="0038480E"/>
    <w:rsid w:val="00397A26"/>
    <w:rsid w:val="004038CE"/>
    <w:rsid w:val="00413297"/>
    <w:rsid w:val="004469DD"/>
    <w:rsid w:val="00483B47"/>
    <w:rsid w:val="00487E9D"/>
    <w:rsid w:val="004E1488"/>
    <w:rsid w:val="005018C7"/>
    <w:rsid w:val="0055089C"/>
    <w:rsid w:val="005F56E0"/>
    <w:rsid w:val="00611215"/>
    <w:rsid w:val="006659CD"/>
    <w:rsid w:val="006925A3"/>
    <w:rsid w:val="006A5983"/>
    <w:rsid w:val="006E396B"/>
    <w:rsid w:val="0070486C"/>
    <w:rsid w:val="007571A5"/>
    <w:rsid w:val="007F2AFE"/>
    <w:rsid w:val="008B1520"/>
    <w:rsid w:val="008C4519"/>
    <w:rsid w:val="00915587"/>
    <w:rsid w:val="0095270D"/>
    <w:rsid w:val="009640D9"/>
    <w:rsid w:val="0096769E"/>
    <w:rsid w:val="009B7ABB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01723"/>
    <w:rsid w:val="00D159C3"/>
    <w:rsid w:val="00DC7E65"/>
    <w:rsid w:val="00DE3E17"/>
    <w:rsid w:val="00E25639"/>
    <w:rsid w:val="00E31EF8"/>
    <w:rsid w:val="00E35D5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0FE9CB-C6F4-4EA5-8DF4-90F47215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1206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