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966AA4" w:rsidRDefault="00966AA4"/>
    <w:p w:rsidR="00EB2A23" w:rsidRDefault="00D81270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7 mai 2023</w:t>
      </w:r>
    </w:p>
    <w:p w:rsidR="00966AA4" w:rsidRDefault="00966AA4">
      <w:pPr>
        <w:jc w:val="right"/>
        <w:rPr>
          <w:b/>
          <w:color w:val="000000"/>
          <w:sz w:val="24"/>
        </w:rPr>
      </w:pPr>
    </w:p>
    <w:p w:rsidR="00BC18CE" w:rsidRDefault="00EB2A23" w:rsidP="00966AA4">
      <w:pPr>
        <w:pBdr>
          <w:top w:val="single" w:sz="6" w:space="1" w:color="auto"/>
          <w:left w:val="single" w:sz="6" w:space="0" w:color="auto"/>
          <w:bottom w:val="single" w:sz="6" w:space="0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966AA4" w:rsidRDefault="002E0604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pat-644 36 ANS </w:t>
      </w:r>
    </w:p>
    <w:p w:rsidR="00966AA4" w:rsidRDefault="00966AA4">
      <w:pPr>
        <w:rPr>
          <w:b/>
          <w:color w:val="000000"/>
          <w:sz w:val="24"/>
        </w:rPr>
      </w:pPr>
    </w:p>
    <w:p w:rsidR="00EB2A23" w:rsidRDefault="00BC18CE" w:rsidP="00966AA4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 </w:t>
      </w:r>
      <w:r w:rsidR="00D81270">
        <w:rPr>
          <w:b/>
          <w:color w:val="000000"/>
          <w:sz w:val="24"/>
        </w:rPr>
        <w:t>MAMMOGRAPHIE/ ECHO COMPRISE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213E22" w:rsidRDefault="00213E22" w:rsidP="0096769E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213E22" w:rsidRDefault="00213E22" w:rsidP="0096769E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Mastodynies droites sans signes cliniques particuliers.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Mammographie de dépistage.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graisseux hétérogènes type b de l’ACR. </w:t>
      </w:r>
    </w:p>
    <w:p w:rsidR="003A77C4" w:rsidRDefault="00213E22" w:rsidP="003A77C4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Opacité bien circonscrite du QSE gauche, </w:t>
      </w:r>
      <w:r w:rsidR="003A77C4">
        <w:rPr>
          <w:rFonts w:ascii="Georgia" w:hAnsi="Georgia"/>
          <w:bCs/>
          <w:color w:val="000000"/>
          <w:sz w:val="24"/>
        </w:rPr>
        <w:t xml:space="preserve">réniforme, </w:t>
      </w:r>
      <w:r>
        <w:rPr>
          <w:rFonts w:ascii="Georgia" w:hAnsi="Georgia"/>
          <w:bCs/>
          <w:color w:val="000000"/>
          <w:sz w:val="24"/>
        </w:rPr>
        <w:t xml:space="preserve">satellite d’un vaisseau </w:t>
      </w:r>
      <w:r w:rsidR="001F5717">
        <w:rPr>
          <w:rFonts w:ascii="Georgia" w:hAnsi="Georgia"/>
          <w:bCs/>
          <w:color w:val="000000"/>
          <w:sz w:val="24"/>
        </w:rPr>
        <w:t>compatible avec un ganglion intra mammaire</w:t>
      </w:r>
      <w:r w:rsidR="003A77C4">
        <w:rPr>
          <w:rFonts w:ascii="Georgia" w:hAnsi="Georgia"/>
          <w:bCs/>
          <w:color w:val="000000"/>
          <w:sz w:val="24"/>
        </w:rPr>
        <w:t>.</w:t>
      </w:r>
    </w:p>
    <w:p w:rsidR="00FD1340" w:rsidRDefault="001F5717" w:rsidP="003A77C4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Macro</w:t>
      </w:r>
      <w:r w:rsidR="003A77C4">
        <w:rPr>
          <w:rFonts w:ascii="Georgia" w:hAnsi="Georgia"/>
          <w:bCs/>
          <w:color w:val="000000"/>
          <w:sz w:val="24"/>
        </w:rPr>
        <w:t>-</w:t>
      </w:r>
      <w:r>
        <w:rPr>
          <w:rFonts w:ascii="Georgia" w:hAnsi="Georgia"/>
          <w:bCs/>
          <w:color w:val="000000"/>
          <w:sz w:val="24"/>
        </w:rPr>
        <w:t>calcification du QM</w:t>
      </w:r>
      <w:r w:rsidR="00FD1340">
        <w:rPr>
          <w:rFonts w:ascii="Georgia" w:hAnsi="Georgia"/>
          <w:bCs/>
          <w:color w:val="000000"/>
          <w:sz w:val="24"/>
        </w:rPr>
        <w:t>I droit, bénigne.</w:t>
      </w:r>
    </w:p>
    <w:p w:rsidR="00FD1340" w:rsidRDefault="00FD1340" w:rsidP="00FD1340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510BED" w:rsidRDefault="00510BED" w:rsidP="00510BED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510BED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Aires axillaires</w:t>
      </w:r>
      <w:r w:rsidR="00510BED">
        <w:rPr>
          <w:rFonts w:ascii="Georgia" w:hAnsi="Georgia"/>
          <w:bCs/>
          <w:color w:val="000000"/>
          <w:sz w:val="24"/>
        </w:rPr>
        <w:t xml:space="preserve"> insuffisamment dégagées.</w:t>
      </w:r>
    </w:p>
    <w:p w:rsidR="00510BED" w:rsidRDefault="00510BED" w:rsidP="0096769E">
      <w:pPr>
        <w:ind w:left="720"/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ind w:firstLine="708"/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96769E" w:rsidRDefault="003A77C4" w:rsidP="003A77C4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Répartition harmonieuse de la trame </w:t>
      </w:r>
      <w:r w:rsidR="0096769E">
        <w:rPr>
          <w:rFonts w:ascii="Georgia" w:hAnsi="Georgia"/>
          <w:bCs/>
          <w:color w:val="000000"/>
          <w:sz w:val="24"/>
        </w:rPr>
        <w:t>conjonctivo-glandulaire.</w:t>
      </w:r>
    </w:p>
    <w:p w:rsidR="00510BED" w:rsidRDefault="00510BED" w:rsidP="003A77C4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Confirmation de la formation ganglionnaire du QSE gauche qui présente un hile </w:t>
      </w:r>
      <w:r w:rsidR="002E13E1">
        <w:rPr>
          <w:rFonts w:ascii="Georgia" w:hAnsi="Georgia"/>
          <w:bCs/>
          <w:color w:val="000000"/>
          <w:sz w:val="24"/>
        </w:rPr>
        <w:t>hyperéchogène et un cortex fin hypoéchogène, mesurant 0</w:t>
      </w:r>
      <w:r w:rsidR="003A77C4">
        <w:rPr>
          <w:rFonts w:ascii="Georgia" w:hAnsi="Georgia"/>
          <w:bCs/>
          <w:color w:val="000000"/>
          <w:sz w:val="24"/>
        </w:rPr>
        <w:t>6</w:t>
      </w:r>
      <w:r w:rsidR="002E13E1">
        <w:rPr>
          <w:rFonts w:ascii="Georgia" w:hAnsi="Georgia"/>
          <w:bCs/>
          <w:color w:val="000000"/>
          <w:sz w:val="24"/>
        </w:rPr>
        <w:t>x05</w:t>
      </w:r>
      <w:r w:rsidR="003A77C4">
        <w:rPr>
          <w:rFonts w:ascii="Georgia" w:hAnsi="Georgia"/>
          <w:bCs/>
          <w:color w:val="000000"/>
          <w:sz w:val="24"/>
        </w:rPr>
        <w:t xml:space="preserve"> </w:t>
      </w:r>
      <w:r w:rsidR="002E13E1">
        <w:rPr>
          <w:rFonts w:ascii="Georgia" w:hAnsi="Georgia"/>
          <w:bCs/>
          <w:color w:val="000000"/>
          <w:sz w:val="24"/>
        </w:rPr>
        <w:t>mm.</w:t>
      </w:r>
    </w:p>
    <w:p w:rsidR="00510BED" w:rsidRDefault="002E13E1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Système canalaire non dilaté.</w:t>
      </w:r>
    </w:p>
    <w:p w:rsidR="002E13E1" w:rsidRDefault="002E13E1" w:rsidP="002E13E1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96769E" w:rsidRDefault="0096769E" w:rsidP="003A77C4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Ganglion axillaire </w:t>
      </w:r>
      <w:r w:rsidR="003A77C4">
        <w:rPr>
          <w:rFonts w:ascii="Georgia" w:hAnsi="Georgia"/>
          <w:bCs/>
          <w:color w:val="000000"/>
          <w:sz w:val="24"/>
        </w:rPr>
        <w:t>gauche</w:t>
      </w:r>
      <w:r w:rsidR="002E13E1">
        <w:rPr>
          <w:rFonts w:ascii="Georgia" w:hAnsi="Georgia"/>
          <w:bCs/>
          <w:color w:val="000000"/>
          <w:sz w:val="24"/>
        </w:rPr>
        <w:t xml:space="preserve"> de morphologie conservée,</w:t>
      </w:r>
      <w:r w:rsidR="002E13E1" w:rsidRPr="002E13E1">
        <w:rPr>
          <w:rFonts w:ascii="Georgia" w:hAnsi="Georgia"/>
          <w:bCs/>
          <w:color w:val="000000"/>
          <w:sz w:val="24"/>
        </w:rPr>
        <w:t xml:space="preserve"> </w:t>
      </w:r>
      <w:r w:rsidR="002E13E1">
        <w:rPr>
          <w:rFonts w:ascii="Georgia" w:hAnsi="Georgia"/>
          <w:bCs/>
          <w:color w:val="000000"/>
          <w:sz w:val="24"/>
        </w:rPr>
        <w:t>d’allure inflammatoire.</w:t>
      </w:r>
    </w:p>
    <w:p w:rsidR="002E13E1" w:rsidRDefault="002E13E1" w:rsidP="002E13E1">
      <w:pPr>
        <w:ind w:left="720"/>
        <w:rPr>
          <w:rFonts w:ascii="Georgia" w:hAnsi="Georgia"/>
          <w:b/>
          <w:bCs/>
          <w:color w:val="000000"/>
          <w:sz w:val="24"/>
          <w:u w:val="single"/>
        </w:rPr>
      </w:pPr>
    </w:p>
    <w:p w:rsidR="002E13E1" w:rsidRDefault="002E13E1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Conclusion :</w:t>
      </w:r>
    </w:p>
    <w:p w:rsidR="003A77C4" w:rsidRDefault="0096769E" w:rsidP="003A77C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Mammographie et échographie mammaire </w:t>
      </w:r>
      <w:r w:rsidR="007A3D4F">
        <w:rPr>
          <w:rFonts w:ascii="Georgia" w:hAnsi="Georgia"/>
          <w:b/>
          <w:bCs/>
          <w:i/>
          <w:color w:val="000000"/>
          <w:sz w:val="24"/>
        </w:rPr>
        <w:t xml:space="preserve">en faveur d’un ganglion intra </w:t>
      </w:r>
      <w:r w:rsidR="0077797B">
        <w:rPr>
          <w:rFonts w:ascii="Georgia" w:hAnsi="Georgia"/>
          <w:b/>
          <w:bCs/>
          <w:i/>
          <w:color w:val="000000"/>
          <w:sz w:val="24"/>
        </w:rPr>
        <w:t>mammaire</w:t>
      </w:r>
      <w:r w:rsidR="007A3D4F">
        <w:rPr>
          <w:rFonts w:ascii="Georgia" w:hAnsi="Georgia"/>
          <w:b/>
          <w:bCs/>
          <w:i/>
          <w:color w:val="000000"/>
          <w:sz w:val="24"/>
        </w:rPr>
        <w:t xml:space="preserve"> du </w:t>
      </w:r>
      <w:r w:rsidR="00855756">
        <w:rPr>
          <w:rFonts w:ascii="Georgia" w:hAnsi="Georgia"/>
          <w:b/>
          <w:bCs/>
          <w:i/>
          <w:color w:val="000000"/>
          <w:sz w:val="24"/>
        </w:rPr>
        <w:t>QSE  gauche, sa</w:t>
      </w:r>
      <w:r w:rsidR="003A77C4">
        <w:rPr>
          <w:rFonts w:ascii="Georgia" w:hAnsi="Georgia"/>
          <w:b/>
          <w:bCs/>
          <w:i/>
          <w:color w:val="000000"/>
          <w:sz w:val="24"/>
        </w:rPr>
        <w:t>n</w:t>
      </w:r>
      <w:r w:rsidR="00855756">
        <w:rPr>
          <w:rFonts w:ascii="Georgia" w:hAnsi="Georgia"/>
          <w:b/>
          <w:bCs/>
          <w:i/>
          <w:color w:val="000000"/>
          <w:sz w:val="24"/>
        </w:rPr>
        <w:t xml:space="preserve">s </w:t>
      </w:r>
      <w:r w:rsidR="003A77C4">
        <w:rPr>
          <w:rFonts w:ascii="Georgia" w:hAnsi="Georgia"/>
          <w:b/>
          <w:bCs/>
          <w:i/>
          <w:color w:val="000000"/>
          <w:sz w:val="24"/>
        </w:rPr>
        <w:t>signification</w:t>
      </w:r>
      <w:r w:rsidR="00855756">
        <w:rPr>
          <w:rFonts w:ascii="Georgia" w:hAnsi="Georgia"/>
          <w:b/>
          <w:bCs/>
          <w:i/>
          <w:color w:val="000000"/>
          <w:sz w:val="24"/>
        </w:rPr>
        <w:t xml:space="preserve"> </w:t>
      </w:r>
      <w:r w:rsidR="003A77C4">
        <w:rPr>
          <w:rFonts w:ascii="Georgia" w:hAnsi="Georgia"/>
          <w:b/>
          <w:bCs/>
          <w:i/>
          <w:color w:val="000000"/>
          <w:sz w:val="24"/>
        </w:rPr>
        <w:t>pathologique, associé à une macro-calcification mammaire droite.</w:t>
      </w:r>
    </w:p>
    <w:p w:rsidR="003A77C4" w:rsidRDefault="003A77C4" w:rsidP="003A77C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Examen classé</w:t>
      </w:r>
      <w:r w:rsidR="0096769E">
        <w:rPr>
          <w:rFonts w:ascii="Georgia" w:hAnsi="Georgia"/>
          <w:b/>
          <w:bCs/>
          <w:i/>
          <w:color w:val="000000"/>
          <w:sz w:val="24"/>
        </w:rPr>
        <w:t xml:space="preserve"> BI-RADS </w:t>
      </w:r>
      <w:r>
        <w:rPr>
          <w:rFonts w:ascii="Georgia" w:hAnsi="Georgia"/>
          <w:b/>
          <w:bCs/>
          <w:i/>
          <w:color w:val="000000"/>
          <w:sz w:val="24"/>
        </w:rPr>
        <w:t>2</w:t>
      </w:r>
      <w:r w:rsidR="0096769E">
        <w:rPr>
          <w:rFonts w:ascii="Georgia" w:hAnsi="Georgia"/>
          <w:b/>
          <w:bCs/>
          <w:i/>
          <w:color w:val="000000"/>
          <w:sz w:val="24"/>
        </w:rPr>
        <w:t xml:space="preserve"> de l’ACR </w:t>
      </w:r>
      <w:r>
        <w:rPr>
          <w:rFonts w:ascii="Georgia" w:hAnsi="Georgia"/>
          <w:b/>
          <w:bCs/>
          <w:i/>
          <w:color w:val="000000"/>
          <w:sz w:val="24"/>
        </w:rPr>
        <w:t>de  façon bilatérale.</w:t>
      </w:r>
    </w:p>
    <w:p w:rsidR="0096769E" w:rsidRDefault="003A77C4" w:rsidP="003A77C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iCs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Un contrôle échographique est souhaitable.</w:t>
      </w:r>
    </w:p>
    <w:p w:rsidR="003A77C4" w:rsidRDefault="003A77C4">
      <w:pPr>
        <w:pStyle w:val="Heading3"/>
        <w:rPr>
          <w:i/>
          <w:i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2087" w:rsidRDefault="00BE2087" w:rsidP="00FF41A6">
      <w:r>
        <w:separator/>
      </w:r>
    </w:p>
  </w:endnote>
  <w:endnote w:type="continuationSeparator" w:id="0">
    <w:p w:rsidR="00BE2087" w:rsidRDefault="00BE2087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797B" w:rsidRDefault="0077797B" w:rsidP="00F515B5">
    <w:pPr>
      <w:jc w:val="center"/>
      <w:rPr>
        <w:rFonts w:eastAsia="Calibri"/>
        <w:i/>
        <w:iCs/>
        <w:sz w:val="18"/>
        <w:szCs w:val="18"/>
      </w:rPr>
    </w:pPr>
  </w:p>
  <w:p w:rsidR="0077797B" w:rsidRDefault="0077797B" w:rsidP="00F515B5">
    <w:pPr>
      <w:tabs>
        <w:tab w:val="center" w:pos="4536"/>
        <w:tab w:val="right" w:pos="9072"/>
      </w:tabs>
      <w:jc w:val="center"/>
    </w:pPr>
  </w:p>
  <w:p w:rsidR="0077797B" w:rsidRPr="00F515B5" w:rsidRDefault="0077797B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2087" w:rsidRDefault="00BE2087" w:rsidP="00FF41A6">
      <w:r>
        <w:separator/>
      </w:r>
    </w:p>
  </w:footnote>
  <w:footnote w:type="continuationSeparator" w:id="0">
    <w:p w:rsidR="00BE2087" w:rsidRDefault="00BE2087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797B" w:rsidRDefault="0077797B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77797B" w:rsidRPr="00426781" w:rsidRDefault="0077797B" w:rsidP="00FF41A6">
    <w:pPr>
      <w:pStyle w:val="NoSpacing"/>
      <w:jc w:val="center"/>
      <w:rPr>
        <w:rFonts w:ascii="Tw Cen MT" w:hAnsi="Tw Cen MT"/>
      </w:rPr>
    </w:pPr>
  </w:p>
  <w:p w:rsidR="0077797B" w:rsidRDefault="0077797B" w:rsidP="00FF41A6">
    <w:pPr>
      <w:pStyle w:val="NoSpacing"/>
      <w:jc w:val="center"/>
      <w:rPr>
        <w:rFonts w:ascii="Tw Cen MT" w:hAnsi="Tw Cen MT"/>
      </w:rPr>
    </w:pPr>
  </w:p>
  <w:p w:rsidR="0077797B" w:rsidRPr="00D104DB" w:rsidRDefault="0077797B" w:rsidP="00FF41A6">
    <w:pPr>
      <w:pStyle w:val="NoSpacing"/>
      <w:jc w:val="center"/>
      <w:rPr>
        <w:sz w:val="16"/>
        <w:szCs w:val="16"/>
      </w:rPr>
    </w:pPr>
  </w:p>
  <w:p w:rsidR="0077797B" w:rsidRDefault="0077797B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4E5E"/>
    <w:rsid w:val="000A78EE"/>
    <w:rsid w:val="000B7A8F"/>
    <w:rsid w:val="00136EEF"/>
    <w:rsid w:val="001F5717"/>
    <w:rsid w:val="00213E22"/>
    <w:rsid w:val="00266C96"/>
    <w:rsid w:val="002B58CC"/>
    <w:rsid w:val="002E0604"/>
    <w:rsid w:val="002E13E1"/>
    <w:rsid w:val="00320AF6"/>
    <w:rsid w:val="00397A26"/>
    <w:rsid w:val="003A77C4"/>
    <w:rsid w:val="003B09DF"/>
    <w:rsid w:val="004038CE"/>
    <w:rsid w:val="00413297"/>
    <w:rsid w:val="00483B47"/>
    <w:rsid w:val="00487E9D"/>
    <w:rsid w:val="004E1488"/>
    <w:rsid w:val="005018C7"/>
    <w:rsid w:val="00510BED"/>
    <w:rsid w:val="0055089C"/>
    <w:rsid w:val="00611215"/>
    <w:rsid w:val="006925A3"/>
    <w:rsid w:val="006A5983"/>
    <w:rsid w:val="006E396B"/>
    <w:rsid w:val="0070486C"/>
    <w:rsid w:val="007571A5"/>
    <w:rsid w:val="0077797B"/>
    <w:rsid w:val="007A3D4F"/>
    <w:rsid w:val="007F2AFE"/>
    <w:rsid w:val="00855756"/>
    <w:rsid w:val="008B1520"/>
    <w:rsid w:val="00915587"/>
    <w:rsid w:val="00966AA4"/>
    <w:rsid w:val="0096769E"/>
    <w:rsid w:val="00A11F2B"/>
    <w:rsid w:val="00A627F7"/>
    <w:rsid w:val="00A76F00"/>
    <w:rsid w:val="00AB3DCA"/>
    <w:rsid w:val="00AF6EEF"/>
    <w:rsid w:val="00B00E2E"/>
    <w:rsid w:val="00B511D7"/>
    <w:rsid w:val="00B625CF"/>
    <w:rsid w:val="00B75A57"/>
    <w:rsid w:val="00BB7310"/>
    <w:rsid w:val="00BC18CE"/>
    <w:rsid w:val="00BE1C55"/>
    <w:rsid w:val="00BE2087"/>
    <w:rsid w:val="00C7676D"/>
    <w:rsid w:val="00CD057F"/>
    <w:rsid w:val="00D159C3"/>
    <w:rsid w:val="00D81270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D1340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8EF3F8D-3C12-4ADE-AA50-B8F36D16F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A3B1C1-4F0F-4402-B1D9-A4050534F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1235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2023-09-18T22:38:00Z</dcterms:created>
  <dcterms:modified xsi:type="dcterms:W3CDTF">2023-09-18T22:38:00Z</dcterms:modified>
</cp:coreProperties>
</file>