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71AC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7B2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pat-661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7020B" w:rsidRDefault="00BC18CE" w:rsidP="00B7020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7020B">
        <w:rPr>
          <w:b/>
          <w:i/>
          <w:iCs/>
          <w:color w:val="000000"/>
          <w:sz w:val="24"/>
        </w:rPr>
        <w:t xml:space="preserve"> </w:t>
      </w:r>
      <w:r w:rsidR="00D71ACC" w:rsidRPr="00B7020B">
        <w:rPr>
          <w:b/>
          <w:i/>
          <w:iCs/>
          <w:color w:val="000000"/>
          <w:sz w:val="24"/>
        </w:rPr>
        <w:t>MAMMOGRAPHIE</w:t>
      </w:r>
      <w:r w:rsidR="00B7020B" w:rsidRPr="00B7020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072EF6" w:rsidRDefault="00072EF6">
      <w:pPr>
        <w:rPr>
          <w:b/>
          <w:color w:val="000000"/>
          <w:sz w:val="24"/>
        </w:rPr>
      </w:pPr>
    </w:p>
    <w:p w:rsidR="00EB2A23" w:rsidRPr="009651FA" w:rsidRDefault="009651FA">
      <w:pPr>
        <w:rPr>
          <w:b/>
          <w:color w:val="000000"/>
          <w:sz w:val="24"/>
          <w:u w:val="single"/>
        </w:rPr>
      </w:pPr>
      <w:r w:rsidRPr="009651FA">
        <w:rPr>
          <w:b/>
          <w:color w:val="000000"/>
          <w:sz w:val="24"/>
          <w:u w:val="single"/>
        </w:rPr>
        <w:t>INDICATION :</w:t>
      </w:r>
    </w:p>
    <w:p w:rsidR="009651FA" w:rsidRPr="009651FA" w:rsidRDefault="009651FA">
      <w:pPr>
        <w:rPr>
          <w:bCs/>
          <w:color w:val="000000"/>
          <w:sz w:val="24"/>
        </w:rPr>
      </w:pPr>
      <w:r w:rsidRPr="009651FA">
        <w:rPr>
          <w:bCs/>
          <w:color w:val="000000"/>
          <w:sz w:val="24"/>
        </w:rPr>
        <w:t>Mastodynie droite.</w:t>
      </w:r>
    </w:p>
    <w:p w:rsidR="009651FA" w:rsidRDefault="009651FA">
      <w:pPr>
        <w:rPr>
          <w:b/>
          <w:color w:val="000000"/>
          <w:sz w:val="24"/>
        </w:rPr>
      </w:pPr>
    </w:p>
    <w:p w:rsidR="00EB2A23" w:rsidRPr="00B7020B" w:rsidRDefault="00EB2A23">
      <w:pPr>
        <w:rPr>
          <w:b/>
          <w:color w:val="000000"/>
          <w:sz w:val="24"/>
          <w:szCs w:val="24"/>
        </w:rPr>
      </w:pPr>
      <w:r w:rsidRPr="00B7020B">
        <w:rPr>
          <w:b/>
          <w:iCs/>
          <w:color w:val="000000"/>
          <w:sz w:val="24"/>
          <w:szCs w:val="24"/>
          <w:u w:val="single"/>
        </w:rPr>
        <w:t>RESULTATS</w:t>
      </w:r>
      <w:r w:rsidRPr="00B7020B">
        <w:rPr>
          <w:b/>
          <w:i/>
          <w:color w:val="000000"/>
          <w:sz w:val="24"/>
          <w:szCs w:val="24"/>
        </w:rPr>
        <w:t>:</w:t>
      </w:r>
      <w:r w:rsidRPr="00B7020B">
        <w:rPr>
          <w:b/>
          <w:color w:val="000000"/>
          <w:sz w:val="24"/>
          <w:szCs w:val="24"/>
        </w:rPr>
        <w:t xml:space="preserve"> 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</w:p>
    <w:p w:rsidR="00B32AB7" w:rsidRPr="00B7020B" w:rsidRDefault="00B32AB7" w:rsidP="00F40A51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Seins à trame </w:t>
      </w:r>
      <w:r w:rsidR="00072EF6">
        <w:rPr>
          <w:bCs/>
          <w:color w:val="000000"/>
          <w:sz w:val="24"/>
          <w:szCs w:val="24"/>
        </w:rPr>
        <w:t>conjonctivo</w:t>
      </w:r>
      <w:r w:rsidRPr="00B7020B">
        <w:rPr>
          <w:bCs/>
          <w:color w:val="000000"/>
          <w:sz w:val="24"/>
          <w:szCs w:val="24"/>
        </w:rPr>
        <w:t xml:space="preserve">-glandulaire et graisseuse type </w:t>
      </w:r>
      <w:r w:rsidR="00F40A51">
        <w:rPr>
          <w:bCs/>
          <w:color w:val="000000"/>
          <w:sz w:val="24"/>
          <w:szCs w:val="24"/>
        </w:rPr>
        <w:t>b</w:t>
      </w:r>
      <w:r w:rsidRPr="00B7020B">
        <w:rPr>
          <w:bCs/>
          <w:color w:val="000000"/>
          <w:sz w:val="24"/>
          <w:szCs w:val="24"/>
        </w:rPr>
        <w:t xml:space="preserve"> de l’ACR.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Absence </w:t>
      </w:r>
      <w:r w:rsidR="00F40A51">
        <w:rPr>
          <w:bCs/>
          <w:color w:val="000000"/>
          <w:sz w:val="24"/>
          <w:szCs w:val="24"/>
        </w:rPr>
        <w:t xml:space="preserve">de syndrome de masse ou </w:t>
      </w:r>
      <w:r w:rsidRPr="00B7020B">
        <w:rPr>
          <w:bCs/>
          <w:color w:val="000000"/>
          <w:sz w:val="24"/>
          <w:szCs w:val="24"/>
        </w:rPr>
        <w:t>d’image d’opacité nodulo-stellaire.</w:t>
      </w:r>
    </w:p>
    <w:p w:rsidR="00B32AB7" w:rsidRPr="00B7020B" w:rsidRDefault="00B32AB7" w:rsidP="00F40A51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Absence </w:t>
      </w:r>
      <w:r w:rsidR="00F40A51">
        <w:rPr>
          <w:bCs/>
          <w:color w:val="000000"/>
          <w:sz w:val="24"/>
          <w:szCs w:val="24"/>
        </w:rPr>
        <w:t xml:space="preserve">de distorsion architecturale ou </w:t>
      </w:r>
      <w:r w:rsidRPr="00B7020B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B7020B" w:rsidRDefault="00F40A51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à centre clair.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</w:p>
    <w:p w:rsidR="00B32AB7" w:rsidRPr="00B7020B" w:rsidRDefault="00B32AB7" w:rsidP="00B7020B">
      <w:pPr>
        <w:ind w:firstLine="708"/>
        <w:rPr>
          <w:bCs/>
          <w:color w:val="000000"/>
          <w:sz w:val="24"/>
          <w:szCs w:val="24"/>
        </w:rPr>
      </w:pPr>
      <w:r w:rsidRPr="00B7020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7020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B32AB7" w:rsidP="00742EDF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Absence </w:t>
      </w:r>
      <w:r w:rsidR="00742EDF">
        <w:rPr>
          <w:bCs/>
          <w:color w:val="000000"/>
          <w:sz w:val="24"/>
          <w:szCs w:val="24"/>
        </w:rPr>
        <w:t xml:space="preserve">de syndrome </w:t>
      </w:r>
      <w:r w:rsidRPr="00B7020B">
        <w:rPr>
          <w:bCs/>
          <w:color w:val="000000"/>
          <w:sz w:val="24"/>
          <w:szCs w:val="24"/>
        </w:rPr>
        <w:t>de masse solide ou kystique</w:t>
      </w:r>
      <w:r w:rsidR="00742EDF">
        <w:rPr>
          <w:bCs/>
          <w:color w:val="000000"/>
          <w:sz w:val="24"/>
          <w:szCs w:val="24"/>
        </w:rPr>
        <w:t xml:space="preserve"> suspecte</w:t>
      </w:r>
      <w:r w:rsidRPr="00B7020B">
        <w:rPr>
          <w:bCs/>
          <w:color w:val="000000"/>
          <w:sz w:val="24"/>
          <w:szCs w:val="24"/>
        </w:rPr>
        <w:t>.</w:t>
      </w:r>
    </w:p>
    <w:p w:rsidR="00B32AB7" w:rsidRPr="00B7020B" w:rsidRDefault="00042E1A" w:rsidP="0090138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Formations m</w:t>
      </w:r>
      <w:r w:rsidR="00742EDF">
        <w:rPr>
          <w:bCs/>
          <w:color w:val="000000"/>
          <w:sz w:val="24"/>
          <w:szCs w:val="24"/>
        </w:rPr>
        <w:t xml:space="preserve">icro-kystes simples du QSE </w:t>
      </w:r>
      <w:r>
        <w:rPr>
          <w:bCs/>
          <w:color w:val="000000"/>
          <w:sz w:val="24"/>
          <w:szCs w:val="24"/>
        </w:rPr>
        <w:t xml:space="preserve">du sein droit </w:t>
      </w:r>
      <w:r w:rsidR="00742EDF">
        <w:rPr>
          <w:bCs/>
          <w:color w:val="000000"/>
          <w:sz w:val="24"/>
          <w:szCs w:val="24"/>
        </w:rPr>
        <w:t xml:space="preserve">et QSI </w:t>
      </w:r>
      <w:r>
        <w:rPr>
          <w:bCs/>
          <w:color w:val="000000"/>
          <w:sz w:val="24"/>
          <w:szCs w:val="24"/>
        </w:rPr>
        <w:t>du sein gauche bien circonscrites, à paroi fine et à contenu transonore homogène, dont le diamètre varie entre 2 et 3 mm</w:t>
      </w:r>
      <w:r w:rsidR="00901381">
        <w:rPr>
          <w:bCs/>
          <w:color w:val="000000"/>
          <w:sz w:val="24"/>
          <w:szCs w:val="24"/>
        </w:rPr>
        <w:t>.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>Système canalaire non dilaté.</w:t>
      </w:r>
    </w:p>
    <w:p w:rsidR="00B32AB7" w:rsidRPr="00B7020B" w:rsidRDefault="0050591F" w:rsidP="0050591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B7020B" w:rsidRDefault="0050591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de morphologie conservée, d’allure inflammatoire.</w:t>
      </w:r>
    </w:p>
    <w:p w:rsidR="00B32AB7" w:rsidRPr="00B7020B" w:rsidRDefault="00B32AB7" w:rsidP="00B32AB7">
      <w:pPr>
        <w:rPr>
          <w:bCs/>
          <w:color w:val="000000"/>
          <w:sz w:val="24"/>
          <w:szCs w:val="24"/>
        </w:rPr>
      </w:pPr>
    </w:p>
    <w:p w:rsidR="00B32AB7" w:rsidRPr="00B7020B" w:rsidRDefault="00B7020B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B7020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7020B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B7020B" w:rsidRDefault="003435B6" w:rsidP="00505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B7020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0591F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B7020B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50591F">
        <w:rPr>
          <w:b/>
          <w:bCs/>
          <w:i/>
          <w:color w:val="000000"/>
          <w:sz w:val="24"/>
          <w:szCs w:val="24"/>
        </w:rPr>
        <w:t xml:space="preserve">, en dehors de quelques micro-formations kystiques </w:t>
      </w:r>
      <w:r w:rsidR="00C56245">
        <w:rPr>
          <w:b/>
          <w:bCs/>
          <w:i/>
          <w:color w:val="000000"/>
          <w:sz w:val="24"/>
          <w:szCs w:val="24"/>
        </w:rPr>
        <w:t>dystrophiques simples bilatérales</w:t>
      </w:r>
      <w:r w:rsidR="00B32AB7" w:rsidRPr="00B7020B">
        <w:rPr>
          <w:b/>
          <w:bCs/>
          <w:i/>
          <w:color w:val="000000"/>
          <w:sz w:val="24"/>
          <w:szCs w:val="24"/>
        </w:rPr>
        <w:t>.</w:t>
      </w:r>
    </w:p>
    <w:p w:rsidR="00B32AB7" w:rsidRPr="00B7020B" w:rsidRDefault="003435B6" w:rsidP="00C5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B7020B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56245">
        <w:rPr>
          <w:b/>
          <w:bCs/>
          <w:i/>
          <w:color w:val="000000"/>
          <w:sz w:val="24"/>
          <w:szCs w:val="24"/>
        </w:rPr>
        <w:t>2</w:t>
      </w:r>
      <w:r w:rsidR="00B32AB7" w:rsidRPr="00B7020B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B32AB7" w:rsidRPr="00B7020B">
        <w:rPr>
          <w:b/>
          <w:bCs/>
          <w:i/>
          <w:color w:val="000000"/>
          <w:sz w:val="24"/>
          <w:szCs w:val="24"/>
        </w:rPr>
        <w:t>.</w:t>
      </w:r>
    </w:p>
    <w:p w:rsidR="00B32AB7" w:rsidRPr="00B7020B" w:rsidRDefault="003435B6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B7020B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B7020B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3435B6" w:rsidRDefault="003435B6">
      <w:pPr>
        <w:rPr>
          <w:b/>
          <w:color w:val="000000"/>
          <w:sz w:val="24"/>
          <w:szCs w:val="24"/>
        </w:rPr>
      </w:pPr>
    </w:p>
    <w:p w:rsidR="003435B6" w:rsidRPr="00B7020B" w:rsidRDefault="003435B6">
      <w:pPr>
        <w:rPr>
          <w:b/>
          <w:color w:val="000000"/>
          <w:sz w:val="24"/>
          <w:szCs w:val="24"/>
        </w:rPr>
      </w:pPr>
    </w:p>
    <w:p w:rsidR="00EB2A23" w:rsidRPr="00B7020B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B7020B">
        <w:rPr>
          <w:bCs/>
          <w:color w:val="000000"/>
          <w:sz w:val="24"/>
          <w:szCs w:val="24"/>
        </w:rPr>
        <w:t xml:space="preserve"> </w:t>
      </w:r>
    </w:p>
    <w:p w:rsidR="00EB2A23" w:rsidRPr="00B7020B" w:rsidRDefault="00EB2A23">
      <w:pPr>
        <w:rPr>
          <w:b/>
          <w:color w:val="000000"/>
          <w:sz w:val="24"/>
          <w:szCs w:val="24"/>
        </w:rPr>
      </w:pPr>
    </w:p>
    <w:p w:rsidR="00EB2A23" w:rsidRPr="00B7020B" w:rsidRDefault="00EB2A23">
      <w:pPr>
        <w:rPr>
          <w:sz w:val="24"/>
          <w:szCs w:val="24"/>
        </w:rPr>
      </w:pPr>
    </w:p>
    <w:p w:rsidR="00EB2A23" w:rsidRPr="00B7020B" w:rsidRDefault="00EB2A23">
      <w:pPr>
        <w:rPr>
          <w:sz w:val="24"/>
          <w:szCs w:val="24"/>
        </w:rPr>
      </w:pPr>
    </w:p>
    <w:p w:rsidR="00320AF6" w:rsidRPr="00B7020B" w:rsidRDefault="00320AF6">
      <w:pPr>
        <w:rPr>
          <w:sz w:val="24"/>
          <w:szCs w:val="24"/>
        </w:rPr>
      </w:pPr>
    </w:p>
    <w:sectPr w:rsidR="00320AF6" w:rsidRPr="00B7020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0F1" w:rsidRDefault="00A410F1" w:rsidP="00FF41A6">
      <w:r>
        <w:separator/>
      </w:r>
    </w:p>
  </w:endnote>
  <w:endnote w:type="continuationSeparator" w:id="0">
    <w:p w:rsidR="00A410F1" w:rsidRDefault="00A410F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0F1" w:rsidRDefault="00A410F1" w:rsidP="00FF41A6">
      <w:r>
        <w:separator/>
      </w:r>
    </w:p>
  </w:footnote>
  <w:footnote w:type="continuationSeparator" w:id="0">
    <w:p w:rsidR="00A410F1" w:rsidRDefault="00A410F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42E1A"/>
    <w:rsid w:val="00072EF6"/>
    <w:rsid w:val="00094E5E"/>
    <w:rsid w:val="000A78EE"/>
    <w:rsid w:val="000B7A8F"/>
    <w:rsid w:val="000D7A79"/>
    <w:rsid w:val="00136EEF"/>
    <w:rsid w:val="00266C96"/>
    <w:rsid w:val="00291FF6"/>
    <w:rsid w:val="002B58CC"/>
    <w:rsid w:val="00320AF6"/>
    <w:rsid w:val="003435B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591F"/>
    <w:rsid w:val="0055089C"/>
    <w:rsid w:val="006925A3"/>
    <w:rsid w:val="006A5983"/>
    <w:rsid w:val="006E396B"/>
    <w:rsid w:val="00742EDF"/>
    <w:rsid w:val="007571A5"/>
    <w:rsid w:val="00797B27"/>
    <w:rsid w:val="007F2AFE"/>
    <w:rsid w:val="008B1520"/>
    <w:rsid w:val="00901381"/>
    <w:rsid w:val="00915587"/>
    <w:rsid w:val="009651FA"/>
    <w:rsid w:val="0097545C"/>
    <w:rsid w:val="00991837"/>
    <w:rsid w:val="00A11F2B"/>
    <w:rsid w:val="00A410F1"/>
    <w:rsid w:val="00A76F00"/>
    <w:rsid w:val="00AB3DCA"/>
    <w:rsid w:val="00AF6EEF"/>
    <w:rsid w:val="00B00E2E"/>
    <w:rsid w:val="00B32AB7"/>
    <w:rsid w:val="00B511D7"/>
    <w:rsid w:val="00B625CF"/>
    <w:rsid w:val="00B7020B"/>
    <w:rsid w:val="00B75A57"/>
    <w:rsid w:val="00BB7310"/>
    <w:rsid w:val="00BC18CE"/>
    <w:rsid w:val="00BE1C55"/>
    <w:rsid w:val="00C26ABD"/>
    <w:rsid w:val="00C56245"/>
    <w:rsid w:val="00C7676D"/>
    <w:rsid w:val="00C821F0"/>
    <w:rsid w:val="00CD057F"/>
    <w:rsid w:val="00D159C3"/>
    <w:rsid w:val="00D71ACC"/>
    <w:rsid w:val="00DC7E65"/>
    <w:rsid w:val="00DE3E17"/>
    <w:rsid w:val="00E25639"/>
    <w:rsid w:val="00E31EF8"/>
    <w:rsid w:val="00EB2A23"/>
    <w:rsid w:val="00EE4ACF"/>
    <w:rsid w:val="00F40A5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69C635-387C-40B0-A571-4DC4A2C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