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35C9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22 mai 2023</w:t>
      </w:r>
    </w:p>
    <w:p w:rsidR="002E1802" w:rsidRDefault="002E180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7431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pat-679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E180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35C9A" w:rsidP="002E180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2E180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2E1802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2E1802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2E1802" w:rsidRDefault="002E1802" w:rsidP="0018160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deux macro-calcifications mammaires droites bénignes l’une du QMS gauche et la seconde du Q</w:t>
      </w:r>
      <w:r w:rsidR="00181605">
        <w:rPr>
          <w:rFonts w:ascii="Georgia" w:hAnsi="Georgia"/>
          <w:bCs/>
          <w:color w:val="000000"/>
          <w:sz w:val="24"/>
        </w:rPr>
        <w:t>II droit.</w:t>
      </w:r>
      <w:r w:rsidR="00181605" w:rsidRPr="00181605">
        <w:rPr>
          <w:rFonts w:ascii="Georgia" w:hAnsi="Georgia"/>
          <w:bCs/>
          <w:color w:val="000000"/>
          <w:sz w:val="24"/>
        </w:rPr>
        <w:t xml:space="preserve"> </w:t>
      </w:r>
    </w:p>
    <w:p w:rsidR="00181605" w:rsidRDefault="00181605" w:rsidP="0018160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n’a été mis en évidence de distorsion architecturale ni de signal calcique à caractère péjoratif.</w:t>
      </w:r>
    </w:p>
    <w:p w:rsidR="00EB565C" w:rsidRDefault="00EB565C" w:rsidP="00181605">
      <w:pPr>
        <w:ind w:left="709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181605" w:rsidRDefault="00181605" w:rsidP="0018160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Confirmation des deux formations calcifiées du QMS gauche et inféro-interne droit avec un net cône d’ombre secondaire.</w:t>
      </w:r>
    </w:p>
    <w:p w:rsidR="00181605" w:rsidRDefault="00181605" w:rsidP="0018160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par ailleurs.</w:t>
      </w:r>
    </w:p>
    <w:p w:rsidR="00181605" w:rsidRDefault="00181605" w:rsidP="0018160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181605" w:rsidRDefault="00181605" w:rsidP="0018160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81605" w:rsidRDefault="00EB565C" w:rsidP="0018160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81605">
        <w:rPr>
          <w:rFonts w:ascii="Georgia" w:hAnsi="Georgia"/>
          <w:b/>
          <w:bCs/>
          <w:i/>
          <w:color w:val="000000"/>
          <w:sz w:val="24"/>
        </w:rPr>
        <w:t xml:space="preserve">en faveur de </w:t>
      </w:r>
      <w:r w:rsidR="00EA5E2E">
        <w:rPr>
          <w:rFonts w:ascii="Georgia" w:hAnsi="Georgia"/>
          <w:b/>
          <w:bCs/>
          <w:i/>
          <w:color w:val="000000"/>
          <w:sz w:val="24"/>
        </w:rPr>
        <w:t xml:space="preserve">deux </w:t>
      </w:r>
      <w:r w:rsidR="00181605">
        <w:rPr>
          <w:rFonts w:ascii="Georgia" w:hAnsi="Georgia"/>
          <w:b/>
          <w:bCs/>
          <w:i/>
          <w:color w:val="000000"/>
          <w:sz w:val="24"/>
        </w:rPr>
        <w:t>macro-calcifications rondes bénignes pouvant rentrer dans le cadre de lésions de cytostéatonécrose.</w:t>
      </w:r>
    </w:p>
    <w:p w:rsidR="00181605" w:rsidRDefault="00181605" w:rsidP="0018160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181605" w:rsidRPr="00EB565C" w:rsidRDefault="00181605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367" w:rsidRDefault="00EF2367" w:rsidP="00FF41A6">
      <w:r>
        <w:separator/>
      </w:r>
    </w:p>
  </w:endnote>
  <w:endnote w:type="continuationSeparator" w:id="0">
    <w:p w:rsidR="00EF2367" w:rsidRDefault="00EF236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367" w:rsidRDefault="00EF2367" w:rsidP="00FF41A6">
      <w:r>
        <w:separator/>
      </w:r>
    </w:p>
  </w:footnote>
  <w:footnote w:type="continuationSeparator" w:id="0">
    <w:p w:rsidR="00EF2367" w:rsidRDefault="00EF236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55364"/>
    <w:rsid w:val="00094E5E"/>
    <w:rsid w:val="000A78EE"/>
    <w:rsid w:val="000B7A8F"/>
    <w:rsid w:val="000C652C"/>
    <w:rsid w:val="00136EEF"/>
    <w:rsid w:val="00181605"/>
    <w:rsid w:val="00266C96"/>
    <w:rsid w:val="00291FF6"/>
    <w:rsid w:val="002B58CC"/>
    <w:rsid w:val="002E1802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74313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35C9A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A5E2E"/>
    <w:rsid w:val="00EB2A23"/>
    <w:rsid w:val="00EB565C"/>
    <w:rsid w:val="00EE4ACF"/>
    <w:rsid w:val="00EF236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825061-C55C-41D8-9D78-C8695AC0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A5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5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2023-05-22T13:13:00Z</cp:lastPrinted>
  <dcterms:created xsi:type="dcterms:W3CDTF">2023-09-18T22:40:00Z</dcterms:created>
  <dcterms:modified xsi:type="dcterms:W3CDTF">2023-09-18T22:40:00Z</dcterms:modified>
</cp:coreProperties>
</file>