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77F4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0477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pat-689 28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877F44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13615C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Collection abcédée ancienne responsable d’une cicatrisation pariétal au niveau du quadrant médio externe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1361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13615C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hétérogènes type </w:t>
      </w:r>
      <w:r w:rsidR="0013615C">
        <w:rPr>
          <w:rFonts w:ascii="Georgia" w:hAnsi="Georgia"/>
          <w:bCs/>
          <w:color w:val="000000"/>
          <w:sz w:val="24"/>
        </w:rPr>
        <w:t>c d</w:t>
      </w:r>
      <w:r>
        <w:rPr>
          <w:rFonts w:ascii="Georgia" w:hAnsi="Georgia"/>
          <w:bCs/>
          <w:color w:val="000000"/>
          <w:sz w:val="24"/>
        </w:rPr>
        <w:t xml:space="preserve">e l’ACR. </w:t>
      </w:r>
    </w:p>
    <w:p w:rsidR="0013615C" w:rsidRDefault="0013615C" w:rsidP="001361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visualisée dans le quadrant médio externe droit.</w:t>
      </w:r>
    </w:p>
    <w:p w:rsidR="0013615C" w:rsidRDefault="0013615C" w:rsidP="001361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visualisée dans le quadrant supéro externe droit dans les limites se confondent au sein de la densité mammaire.</w:t>
      </w:r>
    </w:p>
    <w:p w:rsidR="0013615C" w:rsidRDefault="0013615C" w:rsidP="001361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13615C" w:rsidRDefault="0013615C" w:rsidP="001361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13615C" w:rsidRDefault="0013615C" w:rsidP="001361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13037" w:rsidRDefault="00C13037" w:rsidP="001361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au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C13037" w:rsidRDefault="00C13037" w:rsidP="00C1303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quadrant médio externe droit retrouve une zone de désorganisation architecturale séquellaire de l’ancienne collection abcédée.</w:t>
      </w:r>
    </w:p>
    <w:p w:rsidR="00C13037" w:rsidRDefault="00C13037" w:rsidP="00C1303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dans le quadrant supéro externe gauche une formation hypoéchogène, ovalaire, hétérogène de 12,3x6,2 mm avec discret renforcement postérieur, en rapport avec un adénofibrome.</w:t>
      </w:r>
    </w:p>
    <w:p w:rsidR="00C13037" w:rsidRDefault="00C13037" w:rsidP="00C1303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dilaté de façon discrète.</w:t>
      </w:r>
    </w:p>
    <w:p w:rsidR="00C13037" w:rsidRDefault="00C13037" w:rsidP="00C1303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13037" w:rsidRDefault="00C13037" w:rsidP="00C1303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C13037" w:rsidRDefault="00C13037" w:rsidP="00C13037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15A68" w:rsidRDefault="0096769E" w:rsidP="00115A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15A68">
        <w:rPr>
          <w:rFonts w:ascii="Georgia" w:hAnsi="Georgia"/>
          <w:b/>
          <w:bCs/>
          <w:i/>
          <w:color w:val="000000"/>
          <w:sz w:val="24"/>
        </w:rPr>
        <w:t xml:space="preserve"> en faveur d’une masse du QSE gauche associée à des remaniements fibro cicatriciels  du QME droit, d’allure séquellaire.</w:t>
      </w:r>
    </w:p>
    <w:p w:rsidR="00115A68" w:rsidRDefault="00115A68" w:rsidP="00115A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à gauche et BI-RADS 2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18F" w:rsidRDefault="00EC118F" w:rsidP="00FF41A6">
      <w:r>
        <w:separator/>
      </w:r>
    </w:p>
  </w:endnote>
  <w:endnote w:type="continuationSeparator" w:id="0">
    <w:p w:rsidR="00EC118F" w:rsidRDefault="00EC11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18F" w:rsidRDefault="00EC118F" w:rsidP="00FF41A6">
      <w:r>
        <w:separator/>
      </w:r>
    </w:p>
  </w:footnote>
  <w:footnote w:type="continuationSeparator" w:id="0">
    <w:p w:rsidR="00EC118F" w:rsidRDefault="00EC11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04779"/>
    <w:rsid w:val="00115A68"/>
    <w:rsid w:val="0013615C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77F44"/>
    <w:rsid w:val="008B1520"/>
    <w:rsid w:val="008B6738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13037"/>
    <w:rsid w:val="00C7676D"/>
    <w:rsid w:val="00CD057F"/>
    <w:rsid w:val="00D159C3"/>
    <w:rsid w:val="00DC7E65"/>
    <w:rsid w:val="00DE3E17"/>
    <w:rsid w:val="00E25639"/>
    <w:rsid w:val="00E31EF8"/>
    <w:rsid w:val="00EB2A23"/>
    <w:rsid w:val="00EC118F"/>
    <w:rsid w:val="00EE4ACF"/>
    <w:rsid w:val="00F42AE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B343E9-D241-4E9C-8716-BD7E519B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2023-05-04T13:18:00Z</cp:lastPrinted>
  <dcterms:created xsi:type="dcterms:W3CDTF">2023-09-18T22:40:00Z</dcterms:created>
  <dcterms:modified xsi:type="dcterms:W3CDTF">2023-09-18T22:40:00Z</dcterms:modified>
</cp:coreProperties>
</file>