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7119A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BC07F9" w:rsidRDefault="00BC07F9">
      <w:pPr>
        <w:jc w:val="right"/>
        <w:rPr>
          <w:b/>
          <w:i/>
          <w:iCs/>
          <w:color w:val="000000"/>
          <w:sz w:val="24"/>
        </w:rPr>
      </w:pPr>
    </w:p>
    <w:p w:rsidR="00BC07F9" w:rsidRDefault="00BC07F9">
      <w:pPr>
        <w:jc w:val="right"/>
        <w:rPr>
          <w:b/>
          <w:color w:val="000000"/>
          <w:sz w:val="24"/>
        </w:rPr>
      </w:pPr>
    </w:p>
    <w:p w:rsidR="00BC18CE" w:rsidRPr="00117E7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17E7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B3682C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pat-806 61 ANS </w:t>
      </w:r>
    </w:p>
    <w:p w:rsidR="00EB2A23" w:rsidRDefault="007119A5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117E71" w:rsidRDefault="00117E71" w:rsidP="00EE4ACF">
      <w:pPr>
        <w:rPr>
          <w:bCs/>
          <w:color w:val="000000"/>
          <w:sz w:val="24"/>
        </w:rPr>
      </w:pPr>
    </w:p>
    <w:p w:rsidR="0096769E" w:rsidRPr="00117E71" w:rsidRDefault="0096769E" w:rsidP="0096769E">
      <w:pPr>
        <w:rPr>
          <w:rFonts w:ascii="Georgia" w:hAnsi="Georgia"/>
          <w:b/>
          <w:bCs/>
          <w:i/>
          <w:iCs/>
          <w:color w:val="000000"/>
          <w:sz w:val="22"/>
          <w:szCs w:val="18"/>
          <w:u w:val="single"/>
        </w:rPr>
      </w:pPr>
      <w:r w:rsidRPr="00117E71">
        <w:rPr>
          <w:rFonts w:ascii="Georgia" w:hAnsi="Georgia"/>
          <w:b/>
          <w:bCs/>
          <w:i/>
          <w:iCs/>
          <w:color w:val="000000"/>
          <w:sz w:val="22"/>
          <w:szCs w:val="18"/>
          <w:u w:val="single"/>
        </w:rPr>
        <w:t>INDICATION :</w:t>
      </w:r>
    </w:p>
    <w:p w:rsidR="00782DD1" w:rsidRPr="00782DD1" w:rsidRDefault="00BC07F9" w:rsidP="00782DD1">
      <w:pPr>
        <w:rPr>
          <w:rFonts w:ascii="Georgia" w:hAnsi="Georgia"/>
          <w:bCs/>
          <w:color w:val="000000"/>
          <w:sz w:val="22"/>
          <w:szCs w:val="18"/>
        </w:rPr>
      </w:pPr>
      <w:r w:rsidRPr="00782DD1">
        <w:rPr>
          <w:rFonts w:ascii="Georgia" w:hAnsi="Georgia"/>
          <w:bCs/>
          <w:color w:val="000000"/>
          <w:sz w:val="22"/>
          <w:szCs w:val="18"/>
        </w:rPr>
        <w:t xml:space="preserve">Patiente aux antécédents cardiaques, </w:t>
      </w:r>
      <w:r w:rsidR="00782DD1" w:rsidRPr="00782DD1">
        <w:rPr>
          <w:rFonts w:ascii="Georgia" w:hAnsi="Georgia"/>
          <w:bCs/>
          <w:color w:val="000000"/>
          <w:sz w:val="22"/>
          <w:szCs w:val="18"/>
        </w:rPr>
        <w:t>opérée</w:t>
      </w:r>
      <w:r w:rsidRPr="00782DD1">
        <w:rPr>
          <w:rFonts w:ascii="Georgia" w:hAnsi="Georgia"/>
          <w:bCs/>
          <w:color w:val="000000"/>
          <w:sz w:val="22"/>
          <w:szCs w:val="18"/>
        </w:rPr>
        <w:t xml:space="preserve"> pour une </w:t>
      </w:r>
      <w:r w:rsidR="00782DD1" w:rsidRPr="00782DD1">
        <w:rPr>
          <w:rFonts w:ascii="Georgia" w:hAnsi="Georgia"/>
          <w:bCs/>
          <w:color w:val="000000"/>
          <w:sz w:val="22"/>
          <w:szCs w:val="18"/>
        </w:rPr>
        <w:t>cardiopathie et sous Sintrom.</w:t>
      </w:r>
      <w:r w:rsidRPr="00782DD1">
        <w:rPr>
          <w:rFonts w:ascii="Georgia" w:hAnsi="Georgia"/>
          <w:bCs/>
          <w:color w:val="000000"/>
          <w:sz w:val="22"/>
          <w:szCs w:val="18"/>
        </w:rPr>
        <w:t xml:space="preserve"> </w:t>
      </w:r>
      <w:r w:rsidR="0096769E" w:rsidRPr="00782DD1">
        <w:rPr>
          <w:rFonts w:ascii="Georgia" w:hAnsi="Georgia"/>
          <w:bCs/>
          <w:color w:val="000000"/>
          <w:sz w:val="22"/>
          <w:szCs w:val="18"/>
        </w:rPr>
        <w:t xml:space="preserve">Mammographie </w:t>
      </w:r>
      <w:r w:rsidR="00782DD1" w:rsidRPr="00782DD1">
        <w:rPr>
          <w:rFonts w:ascii="Georgia" w:hAnsi="Georgia"/>
          <w:bCs/>
          <w:color w:val="000000"/>
          <w:sz w:val="22"/>
          <w:szCs w:val="18"/>
        </w:rPr>
        <w:t>en raison d’un écoulement mamelonaire</w:t>
      </w:r>
      <w:r w:rsidR="00782DD1">
        <w:rPr>
          <w:rFonts w:ascii="Georgia" w:hAnsi="Georgia"/>
          <w:bCs/>
          <w:color w:val="000000"/>
          <w:sz w:val="22"/>
          <w:szCs w:val="18"/>
        </w:rPr>
        <w:t xml:space="preserve"> sanglant provoqué à la pression du mamelon gauche</w:t>
      </w:r>
      <w:r w:rsidR="00782DD1" w:rsidRPr="00782DD1">
        <w:rPr>
          <w:rFonts w:ascii="Georgia" w:hAnsi="Georgia"/>
          <w:bCs/>
          <w:color w:val="000000"/>
          <w:sz w:val="22"/>
          <w:szCs w:val="18"/>
        </w:rPr>
        <w:t>.</w:t>
      </w:r>
    </w:p>
    <w:p w:rsidR="00782DD1" w:rsidRDefault="00782DD1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Pr="00782DD1" w:rsidRDefault="0096769E" w:rsidP="0096769E">
      <w:pPr>
        <w:rPr>
          <w:rFonts w:ascii="Georgia" w:hAnsi="Georgia"/>
          <w:b/>
          <w:bCs/>
          <w:color w:val="000000"/>
          <w:sz w:val="24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</w:t>
      </w:r>
      <w:r w:rsidR="00782DD1">
        <w:rPr>
          <w:rFonts w:ascii="Georgia" w:hAnsi="Georgia"/>
          <w:b/>
          <w:bCs/>
          <w:color w:val="000000"/>
          <w:sz w:val="24"/>
          <w:u w:val="single"/>
        </w:rPr>
        <w:t xml:space="preserve"> </w:t>
      </w:r>
      <w:r w:rsidRPr="00782DD1">
        <w:rPr>
          <w:rFonts w:ascii="Georgia" w:hAnsi="Georgia"/>
          <w:b/>
          <w:bCs/>
          <w:color w:val="000000"/>
          <w:sz w:val="24"/>
        </w:rPr>
        <w:t>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Pr="00782DD1" w:rsidRDefault="0096769E" w:rsidP="0096769E">
      <w:pP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 xml:space="preserve">Mammographie </w:t>
      </w:r>
      <w:r w:rsidRPr="00782DD1">
        <w:rPr>
          <w:rFonts w:ascii="Georgia" w:hAnsi="Georgia"/>
          <w:b/>
          <w:bCs/>
          <w:i/>
          <w:color w:val="000000"/>
          <w:sz w:val="24"/>
        </w:rPr>
        <w:t>: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graisseux hétérogènes</w:t>
      </w:r>
      <w:r w:rsidR="00782DD1">
        <w:rPr>
          <w:rFonts w:ascii="Georgia" w:hAnsi="Georgia"/>
          <w:bCs/>
          <w:color w:val="000000"/>
          <w:sz w:val="24"/>
        </w:rPr>
        <w:t>, de</w:t>
      </w:r>
      <w:r>
        <w:rPr>
          <w:rFonts w:ascii="Georgia" w:hAnsi="Georgia"/>
          <w:bCs/>
          <w:color w:val="000000"/>
          <w:sz w:val="24"/>
        </w:rPr>
        <w:t xml:space="preserve">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CE5D61" w:rsidRDefault="00CE5D61" w:rsidP="00CE5D6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Macro-calcifications</w:t>
      </w:r>
      <w:r w:rsidR="00C266AB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rondes, éparses, bilatérales.</w:t>
      </w:r>
    </w:p>
    <w:p w:rsidR="00C266AB" w:rsidRDefault="00C266AB" w:rsidP="00C266A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C266A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C266AB" w:rsidP="00C266A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</w:t>
      </w:r>
      <w:r w:rsidR="0096769E">
        <w:rPr>
          <w:rFonts w:ascii="Georgia" w:hAnsi="Georgia"/>
          <w:bCs/>
          <w:color w:val="000000"/>
          <w:sz w:val="24"/>
        </w:rPr>
        <w:t xml:space="preserve">épartition harmonieuse </w:t>
      </w:r>
      <w:r>
        <w:rPr>
          <w:rFonts w:ascii="Georgia" w:hAnsi="Georgia"/>
          <w:bCs/>
          <w:color w:val="000000"/>
          <w:sz w:val="24"/>
        </w:rPr>
        <w:t xml:space="preserve">de la trame </w:t>
      </w:r>
      <w:r w:rsidR="0096769E"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C266AB" w:rsidRDefault="00C266AB" w:rsidP="004D6B4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dilaté</w:t>
      </w:r>
      <w:r w:rsidR="00C06B7E">
        <w:rPr>
          <w:rFonts w:ascii="Georgia" w:hAnsi="Georgia"/>
          <w:bCs/>
          <w:color w:val="000000"/>
          <w:sz w:val="24"/>
        </w:rPr>
        <w:t xml:space="preserve"> de façon bilatérale, estimé à 04 mm en rétro-aréolaire gauche et à 04,2 mm de calibre en rétro-aréolaire droit</w:t>
      </w:r>
      <w:r w:rsidR="004D6B44">
        <w:rPr>
          <w:rFonts w:ascii="Georgia" w:hAnsi="Georgia"/>
          <w:bCs/>
          <w:color w:val="000000"/>
          <w:sz w:val="24"/>
        </w:rPr>
        <w:t>, sans syndrome de mas</w:t>
      </w:r>
      <w:r w:rsidR="00C06B7E">
        <w:rPr>
          <w:rFonts w:ascii="Georgia" w:hAnsi="Georgia"/>
          <w:bCs/>
          <w:color w:val="000000"/>
          <w:sz w:val="24"/>
        </w:rPr>
        <w:t>se en son sein</w:t>
      </w:r>
      <w:r w:rsidR="004D6B44">
        <w:rPr>
          <w:rFonts w:ascii="Georgia" w:hAnsi="Georgia"/>
          <w:bCs/>
          <w:color w:val="000000"/>
          <w:sz w:val="24"/>
        </w:rPr>
        <w:t>, à paroi fine</w:t>
      </w:r>
      <w:r w:rsidR="005C2A61">
        <w:rPr>
          <w:rFonts w:ascii="Georgia" w:hAnsi="Georgia"/>
          <w:bCs/>
          <w:color w:val="000000"/>
          <w:sz w:val="24"/>
        </w:rPr>
        <w:t>, régulière.</w:t>
      </w:r>
      <w:r w:rsidR="004D6B44">
        <w:rPr>
          <w:rFonts w:ascii="Georgia" w:hAnsi="Georgia"/>
          <w:bCs/>
          <w:color w:val="000000"/>
          <w:sz w:val="24"/>
        </w:rPr>
        <w:t xml:space="preserve">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C2A61" w:rsidRDefault="005C2A61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Pr="0078322C" w:rsidRDefault="0096769E" w:rsidP="00117E71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iCs/>
          <w:color w:val="000000"/>
          <w:sz w:val="24"/>
          <w:u w:val="single"/>
        </w:rPr>
      </w:pPr>
      <w:r w:rsidRPr="0078322C">
        <w:rPr>
          <w:rFonts w:ascii="Georgia" w:hAnsi="Georgia"/>
          <w:b/>
          <w:bCs/>
          <w:i/>
          <w:iCs/>
          <w:color w:val="000000"/>
          <w:sz w:val="24"/>
          <w:u w:val="single"/>
        </w:rPr>
        <w:t>Conclusion :</w:t>
      </w:r>
    </w:p>
    <w:p w:rsidR="0078322C" w:rsidRDefault="0096769E" w:rsidP="00117E71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5C2A61">
        <w:rPr>
          <w:rFonts w:ascii="Georgia" w:hAnsi="Georgia"/>
          <w:b/>
          <w:bCs/>
          <w:i/>
          <w:color w:val="000000"/>
          <w:sz w:val="24"/>
        </w:rPr>
        <w:t>en</w:t>
      </w:r>
      <w:r w:rsidR="00282EC5">
        <w:rPr>
          <w:rFonts w:ascii="Georgia" w:hAnsi="Georgia"/>
          <w:b/>
          <w:bCs/>
          <w:i/>
          <w:color w:val="000000"/>
          <w:sz w:val="24"/>
        </w:rPr>
        <w:t xml:space="preserve"> faveur d’une ectasie canalaire </w:t>
      </w:r>
      <w:r w:rsidR="0078322C">
        <w:rPr>
          <w:rFonts w:ascii="Georgia" w:hAnsi="Georgia"/>
          <w:b/>
          <w:bCs/>
          <w:i/>
          <w:color w:val="000000"/>
          <w:sz w:val="24"/>
        </w:rPr>
        <w:t>simple, bilatérale, associée à des macro-calcifications rondes, bénignes dystrophiques.</w:t>
      </w:r>
    </w:p>
    <w:p w:rsidR="00117E71" w:rsidRDefault="0078322C" w:rsidP="00117E71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L’écoulement sanglant </w:t>
      </w:r>
      <w:r w:rsidR="00013F65">
        <w:rPr>
          <w:rFonts w:ascii="Georgia" w:hAnsi="Georgia"/>
          <w:b/>
          <w:bCs/>
          <w:i/>
          <w:color w:val="000000"/>
          <w:sz w:val="24"/>
        </w:rPr>
        <w:t>provoqué à la pression du mamelon, peut être d’origine traumatique vu</w:t>
      </w:r>
      <w:r w:rsidR="00117E71">
        <w:rPr>
          <w:rFonts w:ascii="Georgia" w:hAnsi="Georgia"/>
          <w:b/>
          <w:bCs/>
          <w:i/>
          <w:color w:val="000000"/>
          <w:sz w:val="24"/>
        </w:rPr>
        <w:t xml:space="preserve"> la prise de </w:t>
      </w:r>
      <w:r w:rsidR="00117E71" w:rsidRPr="00117E71">
        <w:rPr>
          <w:rFonts w:ascii="Georgia" w:hAnsi="Georgia"/>
          <w:b/>
          <w:i/>
          <w:iCs/>
          <w:color w:val="000000"/>
          <w:sz w:val="24"/>
        </w:rPr>
        <w:t>Sintrom</w:t>
      </w:r>
      <w:r w:rsidR="00117E71">
        <w:rPr>
          <w:rFonts w:ascii="Georgia" w:hAnsi="Georgia"/>
          <w:b/>
          <w:bCs/>
          <w:i/>
          <w:color w:val="000000"/>
          <w:sz w:val="24"/>
        </w:rPr>
        <w:t>.</w:t>
      </w:r>
    </w:p>
    <w:p w:rsidR="00117E71" w:rsidRDefault="00117E71" w:rsidP="00117E71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l’ACR 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A31" w:rsidRDefault="006C1A31" w:rsidP="00FF41A6">
      <w:r>
        <w:separator/>
      </w:r>
    </w:p>
  </w:endnote>
  <w:endnote w:type="continuationSeparator" w:id="0">
    <w:p w:rsidR="006C1A31" w:rsidRDefault="006C1A3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65" w:rsidRDefault="00013F65" w:rsidP="00F515B5">
    <w:pPr>
      <w:jc w:val="center"/>
      <w:rPr>
        <w:rFonts w:eastAsia="Calibri"/>
        <w:i/>
        <w:iCs/>
        <w:sz w:val="18"/>
        <w:szCs w:val="18"/>
      </w:rPr>
    </w:pPr>
  </w:p>
  <w:p w:rsidR="00013F65" w:rsidRDefault="00013F65" w:rsidP="00F515B5">
    <w:pPr>
      <w:tabs>
        <w:tab w:val="center" w:pos="4536"/>
        <w:tab w:val="right" w:pos="9072"/>
      </w:tabs>
      <w:jc w:val="center"/>
    </w:pPr>
  </w:p>
  <w:p w:rsidR="00013F65" w:rsidRPr="00F515B5" w:rsidRDefault="00013F6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A31" w:rsidRDefault="006C1A31" w:rsidP="00FF41A6">
      <w:r>
        <w:separator/>
      </w:r>
    </w:p>
  </w:footnote>
  <w:footnote w:type="continuationSeparator" w:id="0">
    <w:p w:rsidR="006C1A31" w:rsidRDefault="006C1A3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65" w:rsidRDefault="00013F6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13F65" w:rsidRPr="00426781" w:rsidRDefault="00013F65" w:rsidP="00FF41A6">
    <w:pPr>
      <w:pStyle w:val="NoSpacing"/>
      <w:jc w:val="center"/>
      <w:rPr>
        <w:rFonts w:ascii="Tw Cen MT" w:hAnsi="Tw Cen MT"/>
      </w:rPr>
    </w:pPr>
  </w:p>
  <w:p w:rsidR="00013F65" w:rsidRDefault="00013F65" w:rsidP="00FF41A6">
    <w:pPr>
      <w:pStyle w:val="NoSpacing"/>
      <w:jc w:val="center"/>
      <w:rPr>
        <w:rFonts w:ascii="Tw Cen MT" w:hAnsi="Tw Cen MT"/>
      </w:rPr>
    </w:pPr>
  </w:p>
  <w:p w:rsidR="00013F65" w:rsidRPr="00D104DB" w:rsidRDefault="00013F65" w:rsidP="00FF41A6">
    <w:pPr>
      <w:pStyle w:val="NoSpacing"/>
      <w:jc w:val="center"/>
      <w:rPr>
        <w:sz w:val="16"/>
        <w:szCs w:val="16"/>
      </w:rPr>
    </w:pPr>
  </w:p>
  <w:p w:rsidR="00013F65" w:rsidRDefault="00013F6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13F65"/>
    <w:rsid w:val="000556B9"/>
    <w:rsid w:val="00094E5E"/>
    <w:rsid w:val="000A78EE"/>
    <w:rsid w:val="000B7A8F"/>
    <w:rsid w:val="000C78D8"/>
    <w:rsid w:val="00117E71"/>
    <w:rsid w:val="00136EEF"/>
    <w:rsid w:val="00266C96"/>
    <w:rsid w:val="00282EC5"/>
    <w:rsid w:val="002B58CC"/>
    <w:rsid w:val="00320AF6"/>
    <w:rsid w:val="00397A26"/>
    <w:rsid w:val="004038CE"/>
    <w:rsid w:val="00413297"/>
    <w:rsid w:val="00483B47"/>
    <w:rsid w:val="00487E9D"/>
    <w:rsid w:val="004D6B44"/>
    <w:rsid w:val="004E1488"/>
    <w:rsid w:val="005018C7"/>
    <w:rsid w:val="0055089C"/>
    <w:rsid w:val="005C2A61"/>
    <w:rsid w:val="005D1976"/>
    <w:rsid w:val="00611215"/>
    <w:rsid w:val="006925A3"/>
    <w:rsid w:val="006A5983"/>
    <w:rsid w:val="006C1A31"/>
    <w:rsid w:val="006E396B"/>
    <w:rsid w:val="0070486C"/>
    <w:rsid w:val="007119A5"/>
    <w:rsid w:val="007571A5"/>
    <w:rsid w:val="00782DD1"/>
    <w:rsid w:val="0078322C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3682C"/>
    <w:rsid w:val="00B511D7"/>
    <w:rsid w:val="00B625CF"/>
    <w:rsid w:val="00B75A57"/>
    <w:rsid w:val="00BB7310"/>
    <w:rsid w:val="00BC07F9"/>
    <w:rsid w:val="00BC18CE"/>
    <w:rsid w:val="00BE1C55"/>
    <w:rsid w:val="00C06B7E"/>
    <w:rsid w:val="00C266AB"/>
    <w:rsid w:val="00C7676D"/>
    <w:rsid w:val="00CD057F"/>
    <w:rsid w:val="00CE5D61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B32AF1-A695-4E00-8C9F-2788DD4B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