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0A189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D02720" w:rsidRDefault="00D0272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149FC" w:rsidRDefault="0011525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pat-838 44 ANS </w:t>
      </w:r>
    </w:p>
    <w:p w:rsidR="00EB2A23" w:rsidRDefault="000A189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D02720" w:rsidRDefault="00BC18CE" w:rsidP="0096769E">
      <w:pPr>
        <w:rPr>
          <w:b/>
          <w:i/>
          <w:color w:val="000000"/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1149FC" w:rsidRDefault="00D02720" w:rsidP="00D0272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Contrôle d’une formation kystique </w:t>
      </w:r>
      <w:r w:rsidR="001149FC">
        <w:rPr>
          <w:rFonts w:ascii="Georgia" w:hAnsi="Georgia"/>
          <w:bCs/>
          <w:color w:val="000000"/>
          <w:sz w:val="24"/>
        </w:rPr>
        <w:t>du QIE gauche.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Pr="001149FC" w:rsidRDefault="0096769E" w:rsidP="0096769E">
      <w:pPr>
        <w:rPr>
          <w:rFonts w:ascii="Georgia" w:hAnsi="Georgia"/>
          <w:b/>
          <w:bCs/>
          <w:color w:val="000000"/>
          <w:sz w:val="28"/>
          <w:szCs w:val="22"/>
          <w:u w:val="single"/>
        </w:rPr>
      </w:pPr>
      <w:r w:rsidRPr="001149FC">
        <w:rPr>
          <w:rFonts w:ascii="Georgia" w:hAnsi="Georgia"/>
          <w:b/>
          <w:bCs/>
          <w:color w:val="000000"/>
          <w:sz w:val="28"/>
          <w:szCs w:val="22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1149F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1149FC">
        <w:rPr>
          <w:rFonts w:ascii="Georgia" w:hAnsi="Georgia"/>
          <w:bCs/>
          <w:color w:val="000000"/>
          <w:sz w:val="24"/>
        </w:rPr>
        <w:t>denses,</w:t>
      </w:r>
      <w:r>
        <w:rPr>
          <w:rFonts w:ascii="Georgia" w:hAnsi="Georgia"/>
          <w:bCs/>
          <w:color w:val="000000"/>
          <w:sz w:val="24"/>
        </w:rPr>
        <w:t xml:space="preserve"> hétérogènes</w:t>
      </w:r>
      <w:r w:rsidR="001149FC">
        <w:rPr>
          <w:rFonts w:ascii="Georgia" w:hAnsi="Georgia"/>
          <w:bCs/>
          <w:color w:val="000000"/>
          <w:sz w:val="24"/>
        </w:rPr>
        <w:t>, de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1149FC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1149FC">
        <w:rPr>
          <w:rFonts w:ascii="Georgia" w:hAnsi="Georgia"/>
          <w:bCs/>
          <w:color w:val="000000"/>
          <w:sz w:val="24"/>
        </w:rPr>
        <w:t>, d’analyse difficile</w:t>
      </w:r>
      <w:r>
        <w:rPr>
          <w:rFonts w:ascii="Georgia" w:hAnsi="Georgia"/>
          <w:bCs/>
          <w:color w:val="000000"/>
          <w:sz w:val="24"/>
        </w:rPr>
        <w:t xml:space="preserve">. </w:t>
      </w:r>
    </w:p>
    <w:p w:rsidR="001149FC" w:rsidRDefault="0096769E" w:rsidP="001149F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1149FC"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149FC" w:rsidRDefault="001149FC" w:rsidP="001149F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</w:t>
      </w:r>
      <w:r w:rsidR="001149FC">
        <w:rPr>
          <w:rFonts w:ascii="Georgia" w:hAnsi="Georgia"/>
          <w:bCs/>
          <w:color w:val="000000"/>
          <w:sz w:val="24"/>
        </w:rPr>
        <w:t>,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096450" w:rsidRDefault="001149FC" w:rsidP="0009645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d’une formation kystique </w:t>
      </w:r>
      <w:r w:rsidR="00096450">
        <w:rPr>
          <w:rFonts w:ascii="Georgia" w:hAnsi="Georgia"/>
          <w:bCs/>
          <w:color w:val="000000"/>
          <w:sz w:val="24"/>
        </w:rPr>
        <w:t>cloisonnée du QME gauche, estimée à 11,5x10,9mm.</w:t>
      </w:r>
    </w:p>
    <w:p w:rsidR="00412960" w:rsidRDefault="00096450" w:rsidP="004129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s’y associe une formation nodulaire, hypoéchogène, </w:t>
      </w:r>
      <w:r w:rsidR="00056653">
        <w:rPr>
          <w:rFonts w:ascii="Georgia" w:hAnsi="Georgia"/>
          <w:bCs/>
          <w:color w:val="000000"/>
          <w:sz w:val="24"/>
        </w:rPr>
        <w:t xml:space="preserve">macro-lobulée, </w:t>
      </w:r>
      <w:r>
        <w:rPr>
          <w:rFonts w:ascii="Georgia" w:hAnsi="Georgia"/>
          <w:bCs/>
          <w:color w:val="000000"/>
          <w:sz w:val="24"/>
        </w:rPr>
        <w:t>de</w:t>
      </w:r>
      <w:r w:rsidR="00056653">
        <w:rPr>
          <w:rFonts w:ascii="Georgia" w:hAnsi="Georgia"/>
          <w:bCs/>
          <w:color w:val="000000"/>
          <w:sz w:val="24"/>
        </w:rPr>
        <w:t xml:space="preserve"> située dans le QSI droit </w:t>
      </w:r>
      <w:r w:rsidR="00B2043C">
        <w:rPr>
          <w:rFonts w:ascii="Georgia" w:hAnsi="Georgia"/>
          <w:bCs/>
          <w:color w:val="000000"/>
          <w:sz w:val="24"/>
        </w:rPr>
        <w:t>de 12,7x08,4mm, non atténuante</w:t>
      </w:r>
      <w:r w:rsidR="00412960">
        <w:rPr>
          <w:rFonts w:ascii="Georgia" w:hAnsi="Georgia"/>
          <w:bCs/>
          <w:color w:val="000000"/>
          <w:sz w:val="24"/>
        </w:rPr>
        <w:t>, à grand axe horizontal, avec discret renforcement postérieur, probablement en rapport avec les adénofibromes, nécessitant une vérification cytologique.</w:t>
      </w:r>
    </w:p>
    <w:p w:rsidR="00D64646" w:rsidRDefault="00412960" w:rsidP="009318E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s’y associe une formation </w:t>
      </w:r>
      <w:r w:rsidR="00D64646">
        <w:rPr>
          <w:rFonts w:ascii="Georgia" w:hAnsi="Georgia"/>
          <w:bCs/>
          <w:color w:val="000000"/>
          <w:sz w:val="24"/>
        </w:rPr>
        <w:t>kystique simple, de situation rétro</w:t>
      </w:r>
      <w:r w:rsidR="009318ED">
        <w:rPr>
          <w:rFonts w:ascii="Georgia" w:hAnsi="Georgia"/>
          <w:bCs/>
          <w:color w:val="000000"/>
          <w:sz w:val="24"/>
        </w:rPr>
        <w:t>-</w:t>
      </w:r>
      <w:r w:rsidR="00D64646">
        <w:rPr>
          <w:rFonts w:ascii="Georgia" w:hAnsi="Georgia"/>
          <w:bCs/>
          <w:color w:val="000000"/>
          <w:sz w:val="24"/>
        </w:rPr>
        <w:t>aréolaire droite, estimée à 05,6x03,3mm.</w:t>
      </w:r>
    </w:p>
    <w:p w:rsidR="009318ED" w:rsidRDefault="00D64646" w:rsidP="00D6464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discrètement dilaté</w:t>
      </w:r>
      <w:r w:rsidR="009318ED">
        <w:rPr>
          <w:rFonts w:ascii="Georgia" w:hAnsi="Georgia"/>
          <w:bCs/>
          <w:color w:val="000000"/>
          <w:sz w:val="24"/>
        </w:rPr>
        <w:t>, à contenu transonore, à paroi fine.</w:t>
      </w:r>
    </w:p>
    <w:p w:rsidR="009318ED" w:rsidRDefault="009318ED" w:rsidP="009318E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318ED" w:rsidRDefault="009318ED" w:rsidP="009318E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de morphologie conservée, d’allure inflammatoire.</w:t>
      </w:r>
    </w:p>
    <w:p w:rsidR="009318ED" w:rsidRDefault="009318ED" w:rsidP="009318ED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D453E" w:rsidRDefault="0096769E" w:rsidP="00925F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9318ED">
        <w:rPr>
          <w:rFonts w:ascii="Georgia" w:hAnsi="Georgia"/>
          <w:b/>
          <w:bCs/>
          <w:i/>
          <w:color w:val="000000"/>
          <w:sz w:val="24"/>
        </w:rPr>
        <w:t xml:space="preserve">en faveur d’une formation </w:t>
      </w:r>
      <w:r w:rsidR="00A634D0">
        <w:rPr>
          <w:rFonts w:ascii="Georgia" w:hAnsi="Georgia"/>
          <w:b/>
          <w:bCs/>
          <w:i/>
          <w:color w:val="000000"/>
          <w:sz w:val="24"/>
        </w:rPr>
        <w:t>nodulaire du QSI droit, globalement à sémiologie</w:t>
      </w:r>
      <w:r w:rsidR="00925F58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A634D0">
        <w:rPr>
          <w:rFonts w:ascii="Georgia" w:hAnsi="Georgia"/>
          <w:b/>
          <w:bCs/>
          <w:i/>
          <w:color w:val="000000"/>
          <w:sz w:val="24"/>
        </w:rPr>
        <w:t xml:space="preserve">bénigne, associée à deux lésions </w:t>
      </w:r>
      <w:r w:rsidR="005D453E">
        <w:rPr>
          <w:rFonts w:ascii="Georgia" w:hAnsi="Georgia"/>
          <w:b/>
          <w:bCs/>
          <w:i/>
          <w:color w:val="000000"/>
          <w:sz w:val="24"/>
        </w:rPr>
        <w:t>kystiques dont une cloisonnée à gauche.</w:t>
      </w:r>
    </w:p>
    <w:p w:rsidR="005D453E" w:rsidRDefault="005D453E" w:rsidP="005D453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925F58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96769E">
        <w:rPr>
          <w:rFonts w:ascii="Georgia" w:hAnsi="Georgia"/>
          <w:b/>
          <w:bCs/>
          <w:i/>
          <w:color w:val="000000"/>
          <w:sz w:val="24"/>
        </w:rPr>
        <w:t>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de façon bilatérale.</w:t>
      </w:r>
    </w:p>
    <w:p w:rsidR="005D453E" w:rsidRDefault="005D453E" w:rsidP="005D453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vérification cytologique est souhaitable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D0" w:rsidRDefault="00EC33D0" w:rsidP="00FF41A6">
      <w:r>
        <w:separator/>
      </w:r>
    </w:p>
  </w:endnote>
  <w:endnote w:type="continuationSeparator" w:id="0">
    <w:p w:rsidR="00EC33D0" w:rsidRDefault="00EC33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646" w:rsidRDefault="00D64646" w:rsidP="00F515B5">
    <w:pPr>
      <w:jc w:val="center"/>
      <w:rPr>
        <w:rFonts w:eastAsia="Calibri"/>
        <w:i/>
        <w:iCs/>
        <w:sz w:val="18"/>
        <w:szCs w:val="18"/>
      </w:rPr>
    </w:pPr>
  </w:p>
  <w:p w:rsidR="00D64646" w:rsidRDefault="00D64646" w:rsidP="00F515B5">
    <w:pPr>
      <w:tabs>
        <w:tab w:val="center" w:pos="4536"/>
        <w:tab w:val="right" w:pos="9072"/>
      </w:tabs>
      <w:jc w:val="center"/>
    </w:pPr>
  </w:p>
  <w:p w:rsidR="00D64646" w:rsidRPr="00F515B5" w:rsidRDefault="00D6464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D0" w:rsidRDefault="00EC33D0" w:rsidP="00FF41A6">
      <w:r>
        <w:separator/>
      </w:r>
    </w:p>
  </w:footnote>
  <w:footnote w:type="continuationSeparator" w:id="0">
    <w:p w:rsidR="00EC33D0" w:rsidRDefault="00EC33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646" w:rsidRDefault="00D6464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64646" w:rsidRPr="00426781" w:rsidRDefault="00D64646" w:rsidP="00FF41A6">
    <w:pPr>
      <w:pStyle w:val="NoSpacing"/>
      <w:jc w:val="center"/>
      <w:rPr>
        <w:rFonts w:ascii="Tw Cen MT" w:hAnsi="Tw Cen MT"/>
      </w:rPr>
    </w:pPr>
  </w:p>
  <w:p w:rsidR="00D64646" w:rsidRDefault="00D64646" w:rsidP="00FF41A6">
    <w:pPr>
      <w:pStyle w:val="NoSpacing"/>
      <w:jc w:val="center"/>
      <w:rPr>
        <w:rFonts w:ascii="Tw Cen MT" w:hAnsi="Tw Cen MT"/>
      </w:rPr>
    </w:pPr>
  </w:p>
  <w:p w:rsidR="00D64646" w:rsidRPr="00D104DB" w:rsidRDefault="00D64646" w:rsidP="00FF41A6">
    <w:pPr>
      <w:pStyle w:val="NoSpacing"/>
      <w:jc w:val="center"/>
      <w:rPr>
        <w:sz w:val="16"/>
        <w:szCs w:val="16"/>
      </w:rPr>
    </w:pPr>
  </w:p>
  <w:p w:rsidR="00D64646" w:rsidRDefault="00D6464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56653"/>
    <w:rsid w:val="00094E5E"/>
    <w:rsid w:val="00096450"/>
    <w:rsid w:val="000A189D"/>
    <w:rsid w:val="000A78EE"/>
    <w:rsid w:val="000B7A8F"/>
    <w:rsid w:val="001149FC"/>
    <w:rsid w:val="00115255"/>
    <w:rsid w:val="00136EEF"/>
    <w:rsid w:val="00266C96"/>
    <w:rsid w:val="002B58CC"/>
    <w:rsid w:val="00320AF6"/>
    <w:rsid w:val="00397A26"/>
    <w:rsid w:val="004038CE"/>
    <w:rsid w:val="00412960"/>
    <w:rsid w:val="00413297"/>
    <w:rsid w:val="00483B47"/>
    <w:rsid w:val="00487E9D"/>
    <w:rsid w:val="004E1488"/>
    <w:rsid w:val="005018C7"/>
    <w:rsid w:val="0055089C"/>
    <w:rsid w:val="005D453E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25F58"/>
    <w:rsid w:val="009318ED"/>
    <w:rsid w:val="0096769E"/>
    <w:rsid w:val="00A11F2B"/>
    <w:rsid w:val="00A627F7"/>
    <w:rsid w:val="00A634D0"/>
    <w:rsid w:val="00A76F00"/>
    <w:rsid w:val="00AB3DCA"/>
    <w:rsid w:val="00AF6EEF"/>
    <w:rsid w:val="00B00E2E"/>
    <w:rsid w:val="00B2043C"/>
    <w:rsid w:val="00B511D7"/>
    <w:rsid w:val="00B625CF"/>
    <w:rsid w:val="00B75A57"/>
    <w:rsid w:val="00BB7310"/>
    <w:rsid w:val="00BC18CE"/>
    <w:rsid w:val="00BE1C55"/>
    <w:rsid w:val="00C7676D"/>
    <w:rsid w:val="00CD057F"/>
    <w:rsid w:val="00D02720"/>
    <w:rsid w:val="00D159C3"/>
    <w:rsid w:val="00D64646"/>
    <w:rsid w:val="00DC2E69"/>
    <w:rsid w:val="00DC7E65"/>
    <w:rsid w:val="00DE3E17"/>
    <w:rsid w:val="00E25639"/>
    <w:rsid w:val="00E31EF8"/>
    <w:rsid w:val="00EB2A23"/>
    <w:rsid w:val="00EC33D0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4610CD-67C0-4407-B71D-614CAC29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