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80BF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avril 2023</w:t>
      </w:r>
    </w:p>
    <w:p w:rsidR="00BC18CE" w:rsidRPr="00E35ED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E35EDD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397A26" w:rsidRDefault="007D55A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pat-842 38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35EDD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35EDD">
        <w:rPr>
          <w:b/>
          <w:i/>
          <w:iCs/>
          <w:color w:val="000000"/>
          <w:sz w:val="24"/>
        </w:rPr>
        <w:t xml:space="preserve"> </w:t>
      </w:r>
      <w:r w:rsidR="00080BF0" w:rsidRPr="00E35EDD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9405C4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 gauche, une échographie réalisée antérieurement est revenue en faveur d’</w:t>
      </w:r>
      <w:r w:rsidR="000429D4">
        <w:rPr>
          <w:rFonts w:ascii="Georgia" w:hAnsi="Georgia"/>
          <w:bCs/>
          <w:color w:val="000000"/>
          <w:sz w:val="24"/>
        </w:rPr>
        <w:t>une masse du QIE gauche d’où la demande de mammographie.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CD20D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CD20DB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CD20DB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E961AA" w:rsidRDefault="00E961AA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une asymétrie focale de</w:t>
      </w:r>
      <w:r w:rsidR="007A4F4E">
        <w:rPr>
          <w:rFonts w:ascii="Georgia" w:hAnsi="Georgia"/>
          <w:bCs/>
          <w:color w:val="000000"/>
          <w:sz w:val="24"/>
        </w:rPr>
        <w:t xml:space="preserve"> densité visualisée dans le q</w:t>
      </w:r>
      <w:r>
        <w:rPr>
          <w:rFonts w:ascii="Georgia" w:hAnsi="Georgia"/>
          <w:bCs/>
          <w:color w:val="000000"/>
          <w:sz w:val="24"/>
        </w:rPr>
        <w:t>uadrant interne gauche mais qu’on ne retrouve pas sur l’incidence oblique externe gauche.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0B1793" w:rsidRDefault="000B1793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L’asymétrie focale de densité visualisée dans le quadrant interne n’a pas de traduction sur le plan échographique. </w:t>
      </w:r>
    </w:p>
    <w:p w:rsidR="00567308" w:rsidRDefault="00567308" w:rsidP="000B17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AF6919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F6919">
        <w:rPr>
          <w:rFonts w:ascii="Georgia" w:hAnsi="Georgia"/>
          <w:b/>
          <w:bCs/>
          <w:i/>
          <w:color w:val="000000"/>
          <w:sz w:val="24"/>
        </w:rPr>
        <w:t xml:space="preserve">en faveur d’une asymétrie focale de densité visualisée dans les quadrants internes gauches qui n’a pas de traduction sur le plan échographique </w:t>
      </w:r>
      <w:r w:rsidR="00832D05">
        <w:rPr>
          <w:rFonts w:ascii="Georgia" w:hAnsi="Georgia"/>
          <w:b/>
          <w:bCs/>
          <w:i/>
          <w:color w:val="000000"/>
          <w:sz w:val="24"/>
        </w:rPr>
        <w:t>(</w:t>
      </w:r>
      <w:r w:rsidR="00AF6919">
        <w:rPr>
          <w:rFonts w:ascii="Georgia" w:hAnsi="Georgia"/>
          <w:b/>
          <w:bCs/>
          <w:i/>
          <w:color w:val="000000"/>
          <w:sz w:val="24"/>
        </w:rPr>
        <w:t xml:space="preserve">vu les antécédents familiaux positifs de la </w:t>
      </w:r>
      <w:r w:rsidR="00832D05">
        <w:rPr>
          <w:rFonts w:ascii="Georgia" w:hAnsi="Georgia"/>
          <w:b/>
          <w:bCs/>
          <w:i/>
          <w:color w:val="000000"/>
          <w:sz w:val="24"/>
        </w:rPr>
        <w:t xml:space="preserve">patiente </w:t>
      </w:r>
      <w:r w:rsidR="00AF6919">
        <w:rPr>
          <w:rFonts w:ascii="Georgia" w:hAnsi="Georgia"/>
          <w:b/>
          <w:bCs/>
          <w:i/>
          <w:color w:val="000000"/>
          <w:sz w:val="24"/>
        </w:rPr>
        <w:t>un cancer du sein chez la tante maternelle et la maman), il serait souhaitable de compléter cet examen par une IRM mammaire de dépistage.</w:t>
      </w:r>
    </w:p>
    <w:p w:rsidR="00AF6919" w:rsidRDefault="00AF6919" w:rsidP="00AF691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0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1 de l'ACR à droite.</w:t>
      </w:r>
    </w:p>
    <w:p w:rsidR="00962264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735" w:rsidRDefault="000E3735" w:rsidP="00FF41A6">
      <w:r>
        <w:separator/>
      </w:r>
    </w:p>
  </w:endnote>
  <w:endnote w:type="continuationSeparator" w:id="0">
    <w:p w:rsidR="000E3735" w:rsidRDefault="000E373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735" w:rsidRDefault="000E3735" w:rsidP="00FF41A6">
      <w:r>
        <w:separator/>
      </w:r>
    </w:p>
  </w:footnote>
  <w:footnote w:type="continuationSeparator" w:id="0">
    <w:p w:rsidR="000E3735" w:rsidRDefault="000E373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429D4"/>
    <w:rsid w:val="00080BF0"/>
    <w:rsid w:val="00094E5E"/>
    <w:rsid w:val="000A78EE"/>
    <w:rsid w:val="000B1793"/>
    <w:rsid w:val="000B7A8F"/>
    <w:rsid w:val="000E3735"/>
    <w:rsid w:val="00136EEF"/>
    <w:rsid w:val="00215563"/>
    <w:rsid w:val="00266C96"/>
    <w:rsid w:val="00271C54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308"/>
    <w:rsid w:val="006925A3"/>
    <w:rsid w:val="006A5983"/>
    <w:rsid w:val="006E396B"/>
    <w:rsid w:val="007571A5"/>
    <w:rsid w:val="00777C76"/>
    <w:rsid w:val="007A4F4E"/>
    <w:rsid w:val="007D55A9"/>
    <w:rsid w:val="007F2AFE"/>
    <w:rsid w:val="00832D05"/>
    <w:rsid w:val="008B1520"/>
    <w:rsid w:val="00915587"/>
    <w:rsid w:val="009405C4"/>
    <w:rsid w:val="00962264"/>
    <w:rsid w:val="00991837"/>
    <w:rsid w:val="009E67C7"/>
    <w:rsid w:val="00A11F2B"/>
    <w:rsid w:val="00A76F00"/>
    <w:rsid w:val="00A85E5E"/>
    <w:rsid w:val="00AB3DCA"/>
    <w:rsid w:val="00AF6919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D20DB"/>
    <w:rsid w:val="00D159C3"/>
    <w:rsid w:val="00DC7E65"/>
    <w:rsid w:val="00DE3E17"/>
    <w:rsid w:val="00E25639"/>
    <w:rsid w:val="00E31EF8"/>
    <w:rsid w:val="00E35EDD"/>
    <w:rsid w:val="00E961AA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70DC15-A5E6-4014-9080-FDB4024B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DC651-607A-4570-9725-51DF3A5A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