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B1A3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19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2A2093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pat-843 52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D47DB8" w:rsidRDefault="00BC18CE" w:rsidP="00D47DB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47DB8">
        <w:rPr>
          <w:b/>
          <w:i/>
          <w:iCs/>
          <w:color w:val="000000"/>
          <w:sz w:val="24"/>
        </w:rPr>
        <w:t xml:space="preserve"> </w:t>
      </w:r>
      <w:r w:rsidR="00DB1A31" w:rsidRPr="00D47DB8">
        <w:rPr>
          <w:b/>
          <w:i/>
          <w:iCs/>
          <w:color w:val="000000"/>
          <w:sz w:val="24"/>
        </w:rPr>
        <w:t>MAMMOGRAPHIE</w:t>
      </w:r>
      <w:r w:rsidR="00D47DB8" w:rsidRPr="00D47DB8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7047CD" w:rsidRDefault="007047CD">
      <w:pPr>
        <w:rPr>
          <w:b/>
          <w:color w:val="000000"/>
          <w:sz w:val="24"/>
        </w:rPr>
      </w:pPr>
    </w:p>
    <w:p w:rsidR="00EB2A23" w:rsidRPr="007047CD" w:rsidRDefault="007047CD">
      <w:pPr>
        <w:rPr>
          <w:b/>
          <w:color w:val="000000"/>
          <w:sz w:val="24"/>
          <w:u w:val="single"/>
        </w:rPr>
      </w:pPr>
      <w:r w:rsidRPr="007047CD">
        <w:rPr>
          <w:b/>
          <w:color w:val="000000"/>
          <w:sz w:val="24"/>
          <w:u w:val="single"/>
        </w:rPr>
        <w:t>INDICATION :</w:t>
      </w:r>
    </w:p>
    <w:p w:rsidR="007047CD" w:rsidRPr="007047CD" w:rsidRDefault="007047CD">
      <w:pPr>
        <w:rPr>
          <w:bCs/>
          <w:color w:val="000000"/>
          <w:sz w:val="24"/>
        </w:rPr>
      </w:pPr>
      <w:r w:rsidRPr="007047CD">
        <w:rPr>
          <w:bCs/>
          <w:color w:val="000000"/>
          <w:sz w:val="24"/>
        </w:rPr>
        <w:t>Dépigmentation focale</w:t>
      </w:r>
    </w:p>
    <w:p w:rsidR="007047CD" w:rsidRDefault="007047CD">
      <w:pPr>
        <w:rPr>
          <w:b/>
          <w:color w:val="000000"/>
          <w:sz w:val="24"/>
        </w:rPr>
      </w:pPr>
    </w:p>
    <w:p w:rsidR="00EB2A23" w:rsidRPr="00D47DB8" w:rsidRDefault="00EB2A23">
      <w:pPr>
        <w:rPr>
          <w:b/>
          <w:color w:val="000000"/>
          <w:sz w:val="24"/>
          <w:szCs w:val="24"/>
        </w:rPr>
      </w:pPr>
      <w:r w:rsidRPr="00D47DB8">
        <w:rPr>
          <w:b/>
          <w:iCs/>
          <w:color w:val="000000"/>
          <w:sz w:val="24"/>
          <w:szCs w:val="24"/>
          <w:u w:val="single"/>
        </w:rPr>
        <w:t>RESULTATS</w:t>
      </w:r>
      <w:r w:rsidRPr="00D47DB8">
        <w:rPr>
          <w:b/>
          <w:i/>
          <w:color w:val="000000"/>
          <w:sz w:val="24"/>
          <w:szCs w:val="24"/>
        </w:rPr>
        <w:t>:</w:t>
      </w:r>
      <w:r w:rsidRPr="00D47DB8">
        <w:rPr>
          <w:b/>
          <w:color w:val="000000"/>
          <w:sz w:val="24"/>
          <w:szCs w:val="24"/>
        </w:rPr>
        <w:t xml:space="preserve"> </w:t>
      </w:r>
    </w:p>
    <w:p w:rsidR="00EE4ACF" w:rsidRPr="00D47DB8" w:rsidRDefault="00EE4ACF">
      <w:pPr>
        <w:rPr>
          <w:b/>
          <w:color w:val="000000"/>
          <w:sz w:val="24"/>
          <w:szCs w:val="24"/>
        </w:rPr>
      </w:pPr>
    </w:p>
    <w:p w:rsidR="00A90B0A" w:rsidRPr="00D47DB8" w:rsidRDefault="00B00E2E" w:rsidP="00D47DB8">
      <w:pPr>
        <w:ind w:firstLine="708"/>
        <w:rPr>
          <w:b/>
          <w:color w:val="000000"/>
          <w:sz w:val="24"/>
          <w:szCs w:val="24"/>
        </w:rPr>
      </w:pPr>
      <w:r w:rsidRPr="00D47DB8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D47DB8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D47DB8" w:rsidRPr="00D47DB8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D47DB8" w:rsidRDefault="00A90B0A" w:rsidP="00A90B0A">
      <w:pPr>
        <w:rPr>
          <w:bCs/>
          <w:color w:val="000000"/>
          <w:sz w:val="24"/>
          <w:szCs w:val="24"/>
        </w:rPr>
      </w:pPr>
      <w:r w:rsidRPr="00D47DB8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D47DB8" w:rsidRDefault="00A90B0A" w:rsidP="00A90B0A">
      <w:pPr>
        <w:rPr>
          <w:bCs/>
          <w:color w:val="000000"/>
          <w:sz w:val="24"/>
          <w:szCs w:val="24"/>
        </w:rPr>
      </w:pPr>
      <w:r w:rsidRPr="00D47DB8">
        <w:rPr>
          <w:bCs/>
          <w:color w:val="000000"/>
          <w:sz w:val="24"/>
          <w:szCs w:val="24"/>
        </w:rPr>
        <w:t>Absence de masse suspecte.</w:t>
      </w:r>
    </w:p>
    <w:p w:rsidR="00A90B0A" w:rsidRPr="00D47DB8" w:rsidRDefault="00A90B0A" w:rsidP="00A90B0A">
      <w:pPr>
        <w:rPr>
          <w:bCs/>
          <w:color w:val="000000"/>
          <w:sz w:val="24"/>
          <w:szCs w:val="24"/>
        </w:rPr>
      </w:pPr>
      <w:r w:rsidRPr="00D47DB8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Default="007047CD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Discrète densification de la graisse sous cutanée et épaississement focale du revêtement cutané du QII droit,  sans masse ou distorsion architecturale sous jacente.</w:t>
      </w:r>
    </w:p>
    <w:p w:rsidR="00713821" w:rsidRPr="00D47DB8" w:rsidRDefault="00713821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 intra-mammaire de morphologie habituelle du quadrant supérieur droit.</w:t>
      </w:r>
    </w:p>
    <w:p w:rsidR="00A90B0A" w:rsidRPr="00D47DB8" w:rsidRDefault="00A90B0A" w:rsidP="00A90B0A">
      <w:pPr>
        <w:rPr>
          <w:bCs/>
          <w:color w:val="000000"/>
          <w:sz w:val="24"/>
          <w:szCs w:val="24"/>
        </w:rPr>
      </w:pPr>
      <w:r w:rsidRPr="00D47DB8">
        <w:rPr>
          <w:bCs/>
          <w:color w:val="000000"/>
          <w:sz w:val="24"/>
          <w:szCs w:val="24"/>
        </w:rPr>
        <w:t>Liseré cutané fin et régulier</w:t>
      </w:r>
      <w:r w:rsidR="00713821">
        <w:rPr>
          <w:bCs/>
          <w:color w:val="000000"/>
          <w:sz w:val="24"/>
          <w:szCs w:val="24"/>
        </w:rPr>
        <w:t xml:space="preserve"> à gauche</w:t>
      </w:r>
      <w:r w:rsidRPr="00D47DB8">
        <w:rPr>
          <w:bCs/>
          <w:color w:val="000000"/>
          <w:sz w:val="24"/>
          <w:szCs w:val="24"/>
        </w:rPr>
        <w:t xml:space="preserve">. </w:t>
      </w:r>
    </w:p>
    <w:p w:rsidR="00A90B0A" w:rsidRPr="00D47DB8" w:rsidRDefault="00A90B0A" w:rsidP="00A90B0A">
      <w:pPr>
        <w:rPr>
          <w:bCs/>
          <w:color w:val="000000"/>
          <w:sz w:val="24"/>
          <w:szCs w:val="24"/>
        </w:rPr>
      </w:pPr>
    </w:p>
    <w:p w:rsidR="00A90B0A" w:rsidRPr="00D47DB8" w:rsidRDefault="00A90B0A" w:rsidP="00D47DB8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D47DB8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D47DB8" w:rsidRPr="00D47DB8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D47DB8" w:rsidRDefault="00A90B0A" w:rsidP="00A90B0A">
      <w:pPr>
        <w:rPr>
          <w:bCs/>
          <w:color w:val="000000"/>
          <w:sz w:val="24"/>
          <w:szCs w:val="24"/>
        </w:rPr>
      </w:pPr>
      <w:r w:rsidRPr="00D47DB8">
        <w:rPr>
          <w:bCs/>
          <w:color w:val="000000"/>
          <w:sz w:val="24"/>
          <w:szCs w:val="24"/>
        </w:rPr>
        <w:t>Absence de masse solide ou kystique suspecte.</w:t>
      </w:r>
    </w:p>
    <w:p w:rsidR="008349EA" w:rsidRDefault="008349EA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Discrète densification de la graisse sous cutanée et épaississement focale du revêtement</w:t>
      </w:r>
      <w:r w:rsidR="00CE4A8B">
        <w:rPr>
          <w:bCs/>
          <w:color w:val="000000"/>
          <w:sz w:val="24"/>
          <w:szCs w:val="24"/>
        </w:rPr>
        <w:t xml:space="preserve"> cutané du QII droit</w:t>
      </w:r>
      <w:r>
        <w:rPr>
          <w:bCs/>
          <w:color w:val="000000"/>
          <w:sz w:val="24"/>
          <w:szCs w:val="24"/>
        </w:rPr>
        <w:t>, sans masse sous jacente.</w:t>
      </w:r>
    </w:p>
    <w:p w:rsidR="00A90B0A" w:rsidRPr="00D47DB8" w:rsidRDefault="00A90B0A" w:rsidP="006F630A">
      <w:pPr>
        <w:rPr>
          <w:bCs/>
          <w:color w:val="000000"/>
          <w:sz w:val="24"/>
          <w:szCs w:val="24"/>
        </w:rPr>
      </w:pPr>
      <w:r w:rsidRPr="00D47DB8">
        <w:rPr>
          <w:bCs/>
          <w:color w:val="000000"/>
          <w:sz w:val="24"/>
          <w:szCs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  <w:szCs w:val="24"/>
        </w:rPr>
      </w:pPr>
      <w:r w:rsidRPr="00D47DB8">
        <w:rPr>
          <w:bCs/>
          <w:color w:val="000000"/>
          <w:sz w:val="24"/>
          <w:szCs w:val="24"/>
        </w:rPr>
        <w:t>Système canalaire non dilaté.</w:t>
      </w:r>
    </w:p>
    <w:p w:rsidR="00A90B0A" w:rsidRPr="00D47DB8" w:rsidRDefault="006F630A" w:rsidP="002C09E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 intra-mammaire du QSE droit de morphologie conservée</w:t>
      </w:r>
      <w:r w:rsidR="00CE4A8B">
        <w:rPr>
          <w:bCs/>
          <w:color w:val="000000"/>
          <w:sz w:val="24"/>
          <w:szCs w:val="24"/>
        </w:rPr>
        <w:t xml:space="preserve"> de 6 mm</w:t>
      </w:r>
      <w:r>
        <w:rPr>
          <w:bCs/>
          <w:color w:val="000000"/>
          <w:sz w:val="24"/>
          <w:szCs w:val="24"/>
        </w:rPr>
        <w:t>.</w:t>
      </w:r>
    </w:p>
    <w:p w:rsidR="00A90B0A" w:rsidRPr="00D47DB8" w:rsidRDefault="00A90B0A" w:rsidP="00A90B0A">
      <w:pPr>
        <w:rPr>
          <w:bCs/>
          <w:color w:val="000000"/>
          <w:sz w:val="24"/>
          <w:szCs w:val="24"/>
        </w:rPr>
      </w:pPr>
      <w:r w:rsidRPr="00D47DB8">
        <w:rPr>
          <w:bCs/>
          <w:color w:val="000000"/>
          <w:sz w:val="24"/>
          <w:szCs w:val="24"/>
        </w:rPr>
        <w:t>Absence d’adénopathies axillaires.</w:t>
      </w:r>
    </w:p>
    <w:p w:rsidR="00A90B0A" w:rsidRPr="00D47DB8" w:rsidRDefault="00A90B0A" w:rsidP="00A90B0A">
      <w:pPr>
        <w:rPr>
          <w:bCs/>
          <w:color w:val="000000"/>
          <w:sz w:val="24"/>
          <w:szCs w:val="24"/>
        </w:rPr>
      </w:pPr>
    </w:p>
    <w:p w:rsidR="00A90B0A" w:rsidRPr="00D47DB8" w:rsidRDefault="00D47DB8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D47DB8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D47DB8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B163DE" w:rsidP="00CE4A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D47DB8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840714">
        <w:rPr>
          <w:b/>
          <w:bCs/>
          <w:i/>
          <w:color w:val="000000"/>
          <w:sz w:val="24"/>
          <w:szCs w:val="24"/>
        </w:rPr>
        <w:t>en faveur d’une mastite focale sans masse sous jacente.</w:t>
      </w:r>
    </w:p>
    <w:p w:rsidR="00840714" w:rsidRPr="00D47DB8" w:rsidRDefault="00B163DE" w:rsidP="008407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40714">
        <w:rPr>
          <w:b/>
          <w:bCs/>
          <w:i/>
          <w:color w:val="000000"/>
          <w:sz w:val="24"/>
          <w:szCs w:val="24"/>
        </w:rPr>
        <w:t>Ganglion intra-mammaire droit.</w:t>
      </w:r>
    </w:p>
    <w:p w:rsidR="00A90B0A" w:rsidRDefault="00B163DE" w:rsidP="00CE4A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D47DB8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CE4A8B">
        <w:rPr>
          <w:b/>
          <w:bCs/>
          <w:i/>
          <w:color w:val="000000"/>
          <w:sz w:val="24"/>
          <w:szCs w:val="24"/>
        </w:rPr>
        <w:t>3</w:t>
      </w:r>
      <w:r w:rsidR="00A90B0A" w:rsidRPr="00D47DB8">
        <w:rPr>
          <w:b/>
          <w:bCs/>
          <w:i/>
          <w:color w:val="000000"/>
          <w:sz w:val="24"/>
          <w:szCs w:val="24"/>
        </w:rPr>
        <w:t xml:space="preserve"> de l’ACR</w:t>
      </w:r>
      <w:r w:rsidR="00CE4A8B">
        <w:rPr>
          <w:b/>
          <w:bCs/>
          <w:i/>
          <w:color w:val="000000"/>
          <w:sz w:val="24"/>
          <w:szCs w:val="24"/>
        </w:rPr>
        <w:t xml:space="preserve"> à droite et BI-RADS 1 de l'ACR à gauche</w:t>
      </w:r>
      <w:r w:rsidR="00A90B0A" w:rsidRPr="00D47DB8">
        <w:rPr>
          <w:b/>
          <w:bCs/>
          <w:i/>
          <w:color w:val="000000"/>
          <w:sz w:val="24"/>
          <w:szCs w:val="24"/>
        </w:rPr>
        <w:t>.</w:t>
      </w:r>
    </w:p>
    <w:p w:rsidR="00CE4A8B" w:rsidRPr="00D47DB8" w:rsidRDefault="00B163DE" w:rsidP="00CE4A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CE4A8B">
        <w:rPr>
          <w:b/>
          <w:bCs/>
          <w:i/>
          <w:color w:val="000000"/>
          <w:sz w:val="24"/>
          <w:szCs w:val="24"/>
        </w:rPr>
        <w:t>Un avis en dermatologie est souhaitable.</w:t>
      </w:r>
    </w:p>
    <w:p w:rsidR="00EB2A23" w:rsidRPr="00D47DB8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D47DB8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D47DB8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D47DB8" w:rsidRDefault="00EB2A23">
      <w:pPr>
        <w:rPr>
          <w:b/>
          <w:color w:val="000000"/>
          <w:sz w:val="24"/>
          <w:szCs w:val="24"/>
        </w:rPr>
      </w:pPr>
    </w:p>
    <w:p w:rsidR="00EB2A23" w:rsidRPr="00D47DB8" w:rsidRDefault="00EB2A23">
      <w:pPr>
        <w:rPr>
          <w:sz w:val="24"/>
          <w:szCs w:val="24"/>
        </w:rPr>
      </w:pPr>
    </w:p>
    <w:p w:rsidR="00EB2A23" w:rsidRPr="00D47DB8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F69" w:rsidRDefault="00BB3F69" w:rsidP="00FF41A6">
      <w:r>
        <w:separator/>
      </w:r>
    </w:p>
  </w:endnote>
  <w:endnote w:type="continuationSeparator" w:id="0">
    <w:p w:rsidR="00BB3F69" w:rsidRDefault="00BB3F6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DB8" w:rsidRDefault="00D47DB8" w:rsidP="00F515B5">
    <w:pPr>
      <w:jc w:val="center"/>
      <w:rPr>
        <w:rFonts w:eastAsia="Calibri"/>
        <w:i/>
        <w:iCs/>
        <w:sz w:val="18"/>
        <w:szCs w:val="18"/>
      </w:rPr>
    </w:pPr>
  </w:p>
  <w:p w:rsidR="00D47DB8" w:rsidRDefault="00D47DB8" w:rsidP="00F515B5">
    <w:pPr>
      <w:tabs>
        <w:tab w:val="center" w:pos="4536"/>
        <w:tab w:val="right" w:pos="9072"/>
      </w:tabs>
      <w:jc w:val="center"/>
    </w:pPr>
  </w:p>
  <w:p w:rsidR="00D47DB8" w:rsidRPr="00F515B5" w:rsidRDefault="00D47DB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F69" w:rsidRDefault="00BB3F69" w:rsidP="00FF41A6">
      <w:r>
        <w:separator/>
      </w:r>
    </w:p>
  </w:footnote>
  <w:footnote w:type="continuationSeparator" w:id="0">
    <w:p w:rsidR="00BB3F69" w:rsidRDefault="00BB3F6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DB8" w:rsidRDefault="00D47DB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47DB8" w:rsidRPr="00426781" w:rsidRDefault="00D47DB8" w:rsidP="00FF41A6">
    <w:pPr>
      <w:pStyle w:val="NoSpacing"/>
      <w:jc w:val="center"/>
      <w:rPr>
        <w:rFonts w:ascii="Tw Cen MT" w:hAnsi="Tw Cen MT"/>
      </w:rPr>
    </w:pPr>
  </w:p>
  <w:p w:rsidR="00D47DB8" w:rsidRDefault="00D47DB8" w:rsidP="00FF41A6">
    <w:pPr>
      <w:pStyle w:val="NoSpacing"/>
      <w:jc w:val="center"/>
      <w:rPr>
        <w:rFonts w:ascii="Tw Cen MT" w:hAnsi="Tw Cen MT"/>
      </w:rPr>
    </w:pPr>
  </w:p>
  <w:p w:rsidR="00D47DB8" w:rsidRPr="00D104DB" w:rsidRDefault="00D47DB8" w:rsidP="00FF41A6">
    <w:pPr>
      <w:pStyle w:val="NoSpacing"/>
      <w:jc w:val="center"/>
      <w:rPr>
        <w:sz w:val="16"/>
        <w:szCs w:val="16"/>
      </w:rPr>
    </w:pPr>
  </w:p>
  <w:p w:rsidR="00D47DB8" w:rsidRDefault="00D47DB8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A2093"/>
    <w:rsid w:val="002B58CC"/>
    <w:rsid w:val="002C09E0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682"/>
    <w:rsid w:val="005018C7"/>
    <w:rsid w:val="0055089C"/>
    <w:rsid w:val="006925A3"/>
    <w:rsid w:val="006A5983"/>
    <w:rsid w:val="006E396B"/>
    <w:rsid w:val="006F630A"/>
    <w:rsid w:val="007047CD"/>
    <w:rsid w:val="00713821"/>
    <w:rsid w:val="007571A5"/>
    <w:rsid w:val="007F2AFE"/>
    <w:rsid w:val="008349EA"/>
    <w:rsid w:val="00840714"/>
    <w:rsid w:val="008B1520"/>
    <w:rsid w:val="00914B76"/>
    <w:rsid w:val="00915587"/>
    <w:rsid w:val="00991837"/>
    <w:rsid w:val="00A11F2B"/>
    <w:rsid w:val="00A76F00"/>
    <w:rsid w:val="00A90B0A"/>
    <w:rsid w:val="00AB3DCA"/>
    <w:rsid w:val="00AF6EEF"/>
    <w:rsid w:val="00B00E2E"/>
    <w:rsid w:val="00B163DE"/>
    <w:rsid w:val="00B511D7"/>
    <w:rsid w:val="00B625CF"/>
    <w:rsid w:val="00B75A57"/>
    <w:rsid w:val="00B90949"/>
    <w:rsid w:val="00BA6E84"/>
    <w:rsid w:val="00BB3F69"/>
    <w:rsid w:val="00BB7310"/>
    <w:rsid w:val="00BC18CE"/>
    <w:rsid w:val="00BE1C55"/>
    <w:rsid w:val="00C7676D"/>
    <w:rsid w:val="00CD057F"/>
    <w:rsid w:val="00CE2491"/>
    <w:rsid w:val="00CE4A8B"/>
    <w:rsid w:val="00D159C3"/>
    <w:rsid w:val="00D47DB8"/>
    <w:rsid w:val="00D77CF5"/>
    <w:rsid w:val="00DB1A31"/>
    <w:rsid w:val="00DC7E65"/>
    <w:rsid w:val="00DE3E17"/>
    <w:rsid w:val="00E25639"/>
    <w:rsid w:val="00E31EF8"/>
    <w:rsid w:val="00EB2A23"/>
    <w:rsid w:val="00EE4ACF"/>
    <w:rsid w:val="00EF1786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5B6E1E-F9BA-4392-B512-E1DB6747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1272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2023-09-18T22:50:00Z</dcterms:created>
  <dcterms:modified xsi:type="dcterms:W3CDTF">2023-09-18T22:50:00Z</dcterms:modified>
</cp:coreProperties>
</file>