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6E16B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30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B09B1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pat-896 35 ANS </w:t>
      </w:r>
    </w:p>
    <w:p w:rsidR="001B1D1C" w:rsidRDefault="001B1D1C">
      <w:pPr>
        <w:rPr>
          <w:b/>
          <w:color w:val="000000"/>
          <w:sz w:val="24"/>
        </w:rPr>
      </w:pPr>
    </w:p>
    <w:p w:rsidR="00EB2A23" w:rsidRPr="001B1D1C" w:rsidRDefault="00BC18CE" w:rsidP="001B1D1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B1D1C">
        <w:rPr>
          <w:b/>
          <w:i/>
          <w:iCs/>
          <w:color w:val="000000"/>
          <w:sz w:val="24"/>
        </w:rPr>
        <w:t xml:space="preserve"> </w:t>
      </w:r>
      <w:r w:rsidR="001B1D1C" w:rsidRPr="001B1D1C">
        <w:rPr>
          <w:b/>
          <w:i/>
          <w:iCs/>
          <w:color w:val="000000"/>
          <w:sz w:val="24"/>
        </w:rPr>
        <w:t>MAMMOGRAPHIE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1B1D1C" w:rsidRDefault="0096769E" w:rsidP="0096769E">
      <w:pPr>
        <w:rPr>
          <w:b/>
          <w:bCs/>
          <w:color w:val="000000"/>
          <w:sz w:val="24"/>
          <w:u w:val="single"/>
        </w:rPr>
      </w:pPr>
      <w:r w:rsidRPr="001B1D1C">
        <w:rPr>
          <w:b/>
          <w:bCs/>
          <w:color w:val="000000"/>
          <w:sz w:val="24"/>
          <w:u w:val="single"/>
        </w:rPr>
        <w:t>INDICATION :</w:t>
      </w:r>
    </w:p>
    <w:p w:rsidR="0096769E" w:rsidRPr="001B1D1C" w:rsidRDefault="001B1D1C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sus-aréolaire gauche d’apparition récente.</w:t>
      </w:r>
    </w:p>
    <w:p w:rsidR="0096769E" w:rsidRPr="001B1D1C" w:rsidRDefault="0096769E" w:rsidP="0096769E">
      <w:pPr>
        <w:rPr>
          <w:bCs/>
          <w:color w:val="000000"/>
          <w:sz w:val="24"/>
        </w:rPr>
      </w:pPr>
    </w:p>
    <w:p w:rsidR="0096769E" w:rsidRPr="001B1D1C" w:rsidRDefault="0096769E" w:rsidP="0096769E">
      <w:pPr>
        <w:rPr>
          <w:b/>
          <w:bCs/>
          <w:color w:val="000000"/>
          <w:sz w:val="24"/>
          <w:u w:val="single"/>
        </w:rPr>
      </w:pPr>
      <w:r w:rsidRPr="001B1D1C">
        <w:rPr>
          <w:b/>
          <w:bCs/>
          <w:color w:val="000000"/>
          <w:sz w:val="24"/>
          <w:u w:val="single"/>
        </w:rPr>
        <w:t>RESULTATS:</w:t>
      </w:r>
    </w:p>
    <w:p w:rsidR="0096769E" w:rsidRPr="001B1D1C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1B1D1C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1B1D1C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1B1D1C" w:rsidRDefault="0096769E" w:rsidP="00BB0835">
      <w:pPr>
        <w:rPr>
          <w:bCs/>
          <w:color w:val="000000"/>
          <w:sz w:val="24"/>
        </w:rPr>
      </w:pPr>
      <w:r w:rsidRPr="001B1D1C">
        <w:rPr>
          <w:bCs/>
          <w:color w:val="000000"/>
          <w:sz w:val="24"/>
        </w:rPr>
        <w:t xml:space="preserve">Seins </w:t>
      </w:r>
      <w:r w:rsidR="00A55FC1">
        <w:rPr>
          <w:bCs/>
          <w:color w:val="000000"/>
          <w:sz w:val="24"/>
        </w:rPr>
        <w:t>denses</w:t>
      </w:r>
      <w:r w:rsidRPr="001B1D1C">
        <w:rPr>
          <w:bCs/>
          <w:color w:val="000000"/>
          <w:sz w:val="24"/>
        </w:rPr>
        <w:t xml:space="preserve"> hétérogènes type </w:t>
      </w:r>
      <w:r w:rsidR="00A55FC1">
        <w:rPr>
          <w:bCs/>
          <w:color w:val="000000"/>
          <w:sz w:val="24"/>
        </w:rPr>
        <w:t>c</w:t>
      </w:r>
      <w:r w:rsidRPr="001B1D1C">
        <w:rPr>
          <w:bCs/>
          <w:color w:val="000000"/>
          <w:sz w:val="24"/>
        </w:rPr>
        <w:t xml:space="preserve"> de l’ACR. </w:t>
      </w:r>
    </w:p>
    <w:p w:rsidR="0096769E" w:rsidRPr="001B1D1C" w:rsidRDefault="0096769E" w:rsidP="00BB0835">
      <w:pPr>
        <w:rPr>
          <w:bCs/>
          <w:color w:val="000000"/>
          <w:sz w:val="24"/>
        </w:rPr>
      </w:pPr>
      <w:r w:rsidRPr="001B1D1C">
        <w:rPr>
          <w:bCs/>
          <w:color w:val="000000"/>
          <w:sz w:val="24"/>
        </w:rPr>
        <w:t>Absence de désorganisation architecturale.</w:t>
      </w:r>
    </w:p>
    <w:p w:rsidR="0096769E" w:rsidRDefault="0096769E" w:rsidP="00BB0835">
      <w:pPr>
        <w:rPr>
          <w:bCs/>
          <w:color w:val="000000"/>
          <w:sz w:val="24"/>
        </w:rPr>
      </w:pPr>
      <w:r w:rsidRPr="001B1D1C">
        <w:rPr>
          <w:bCs/>
          <w:color w:val="000000"/>
          <w:sz w:val="24"/>
        </w:rPr>
        <w:t>Absence de signal calcique à caractère péjoratif.</w:t>
      </w:r>
    </w:p>
    <w:p w:rsidR="0033023A" w:rsidRPr="001B1D1C" w:rsidRDefault="0033023A" w:rsidP="00BB083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du QSE droit bénigne.</w:t>
      </w:r>
    </w:p>
    <w:p w:rsidR="0096769E" w:rsidRPr="001B1D1C" w:rsidRDefault="0096769E" w:rsidP="00BB0835">
      <w:pPr>
        <w:rPr>
          <w:bCs/>
          <w:color w:val="000000"/>
          <w:sz w:val="24"/>
        </w:rPr>
      </w:pPr>
      <w:r w:rsidRPr="001B1D1C">
        <w:rPr>
          <w:bCs/>
          <w:color w:val="000000"/>
          <w:sz w:val="24"/>
        </w:rPr>
        <w:t>Revêtement cutané fin et régulier.</w:t>
      </w:r>
    </w:p>
    <w:p w:rsidR="0096769E" w:rsidRPr="001B1D1C" w:rsidRDefault="0096769E" w:rsidP="00BB0835">
      <w:pPr>
        <w:rPr>
          <w:bCs/>
          <w:color w:val="000000"/>
          <w:sz w:val="24"/>
        </w:rPr>
      </w:pPr>
      <w:r w:rsidRPr="001B1D1C">
        <w:rPr>
          <w:bCs/>
          <w:color w:val="000000"/>
          <w:sz w:val="24"/>
        </w:rPr>
        <w:t xml:space="preserve">Aires axillaires </w:t>
      </w:r>
      <w:r w:rsidR="0033023A">
        <w:rPr>
          <w:bCs/>
          <w:color w:val="000000"/>
          <w:sz w:val="24"/>
        </w:rPr>
        <w:t>insuffisamment dégagées</w:t>
      </w:r>
      <w:r w:rsidRPr="001B1D1C">
        <w:rPr>
          <w:bCs/>
          <w:color w:val="000000"/>
          <w:sz w:val="24"/>
        </w:rPr>
        <w:t>.</w:t>
      </w:r>
    </w:p>
    <w:p w:rsidR="0096769E" w:rsidRPr="001B1D1C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1B1D1C" w:rsidRDefault="0096769E" w:rsidP="001B1D1C">
      <w:pPr>
        <w:rPr>
          <w:bCs/>
          <w:color w:val="000000"/>
          <w:sz w:val="24"/>
        </w:rPr>
      </w:pPr>
      <w:r w:rsidRPr="001B1D1C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1B1D1C" w:rsidRDefault="0096769E" w:rsidP="00BB0835">
      <w:pPr>
        <w:rPr>
          <w:bCs/>
          <w:color w:val="000000"/>
          <w:sz w:val="24"/>
        </w:rPr>
      </w:pPr>
      <w:r w:rsidRPr="001B1D1C">
        <w:rPr>
          <w:bCs/>
          <w:color w:val="000000"/>
          <w:sz w:val="24"/>
        </w:rPr>
        <w:t xml:space="preserve">Répartition harmonieuse </w:t>
      </w:r>
      <w:r w:rsidR="00835649">
        <w:rPr>
          <w:bCs/>
          <w:color w:val="000000"/>
          <w:sz w:val="24"/>
        </w:rPr>
        <w:t>de la trame</w:t>
      </w:r>
      <w:r w:rsidRPr="001B1D1C">
        <w:rPr>
          <w:bCs/>
          <w:color w:val="000000"/>
          <w:sz w:val="24"/>
        </w:rPr>
        <w:t xml:space="preserve"> conjonctivo-glandulaire.</w:t>
      </w:r>
    </w:p>
    <w:p w:rsidR="003D26F0" w:rsidRDefault="003D26F0" w:rsidP="00BB083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masse sus-aréolaire gauche isoéchogène hétérogène, bien circonscrite, régulière, à grand axe horizontal, estimée à 22x9,8 mm, sans atténuation postérieure.</w:t>
      </w:r>
    </w:p>
    <w:p w:rsidR="003D26F0" w:rsidRDefault="003D26F0" w:rsidP="00BB083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dilaté de façon bilatérale.</w:t>
      </w:r>
    </w:p>
    <w:p w:rsidR="0081785B" w:rsidRPr="001B1D1C" w:rsidRDefault="0081785B" w:rsidP="00BB0835">
      <w:pPr>
        <w:rPr>
          <w:bCs/>
          <w:color w:val="000000"/>
          <w:sz w:val="24"/>
        </w:rPr>
      </w:pPr>
      <w:r w:rsidRPr="001B1D1C">
        <w:rPr>
          <w:bCs/>
          <w:color w:val="000000"/>
          <w:sz w:val="24"/>
        </w:rPr>
        <w:t>Revêtement cutané fin et régulier.</w:t>
      </w:r>
    </w:p>
    <w:p w:rsidR="00DD7738" w:rsidRDefault="00E22FB3" w:rsidP="00BB083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 axillaire </w:t>
      </w:r>
      <w:r w:rsidR="00DD7738">
        <w:rPr>
          <w:bCs/>
          <w:color w:val="000000"/>
          <w:sz w:val="24"/>
        </w:rPr>
        <w:t>gauche</w:t>
      </w:r>
      <w:r>
        <w:rPr>
          <w:bCs/>
          <w:color w:val="000000"/>
          <w:sz w:val="24"/>
        </w:rPr>
        <w:t xml:space="preserve"> fusiforme, à hile hyperéchogène et cortex fin hypoéchogène, aux contours réguliers, estimé à </w:t>
      </w:r>
      <w:r w:rsidR="00DD7738">
        <w:rPr>
          <w:bCs/>
          <w:color w:val="000000"/>
          <w:sz w:val="24"/>
        </w:rPr>
        <w:t>13x7,5 mm.</w:t>
      </w:r>
    </w:p>
    <w:p w:rsidR="0096769E" w:rsidRPr="001B1D1C" w:rsidRDefault="0096769E" w:rsidP="0096769E">
      <w:pPr>
        <w:rPr>
          <w:bCs/>
          <w:color w:val="000000"/>
          <w:sz w:val="24"/>
        </w:rPr>
      </w:pPr>
    </w:p>
    <w:p w:rsidR="0096769E" w:rsidRPr="001B1D1C" w:rsidRDefault="001B1D1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1B1D1C">
        <w:rPr>
          <w:b/>
          <w:bCs/>
          <w:color w:val="000000"/>
          <w:sz w:val="24"/>
          <w:u w:val="single"/>
        </w:rPr>
        <w:t>CONCLUSION :</w:t>
      </w:r>
    </w:p>
    <w:p w:rsidR="00DD7738" w:rsidRDefault="008829ED" w:rsidP="00DD773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1B1D1C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D7738">
        <w:rPr>
          <w:b/>
          <w:bCs/>
          <w:i/>
          <w:color w:val="000000"/>
          <w:sz w:val="24"/>
        </w:rPr>
        <w:t xml:space="preserve"> en faveur d’une masse sus-aréolaire gauche classée BI-RADS 3 de l'ACR, globalement  à sémiologie bénigne.</w:t>
      </w:r>
    </w:p>
    <w:p w:rsidR="00DD7738" w:rsidRDefault="008829ED" w:rsidP="00DD773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DD7738">
        <w:rPr>
          <w:b/>
          <w:bCs/>
          <w:i/>
          <w:color w:val="000000"/>
          <w:sz w:val="24"/>
        </w:rPr>
        <w:t xml:space="preserve">Examen du sein droit classé BI-RADS 1 de l'ACR. 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FB40D9" w:rsidRPr="001B1D1C" w:rsidRDefault="00FB40D9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1B1D1C" w:rsidRDefault="00EB2A23">
      <w:pPr>
        <w:pStyle w:val="Heading3"/>
        <w:rPr>
          <w:i/>
          <w:iCs/>
        </w:rPr>
      </w:pPr>
      <w:r w:rsidRPr="001B1D1C">
        <w:rPr>
          <w:i/>
          <w:iCs/>
        </w:rPr>
        <w:t xml:space="preserve"> </w:t>
      </w:r>
    </w:p>
    <w:p w:rsidR="001B1D1C" w:rsidRDefault="001B1D1C">
      <w:pPr>
        <w:pStyle w:val="Heading3"/>
        <w:rPr>
          <w:i/>
          <w:iCs/>
        </w:rPr>
      </w:pPr>
    </w:p>
    <w:p w:rsidR="00EB2A23" w:rsidRPr="001B1D1C" w:rsidRDefault="00EB2A23">
      <w:pPr>
        <w:rPr>
          <w:b/>
          <w:color w:val="000000"/>
          <w:sz w:val="24"/>
        </w:rPr>
      </w:pPr>
    </w:p>
    <w:p w:rsidR="00EB2A23" w:rsidRPr="001B1D1C" w:rsidRDefault="00EB2A23"/>
    <w:p w:rsidR="00EB2A23" w:rsidRPr="001B1D1C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2F8" w:rsidRDefault="005A32F8" w:rsidP="00FF41A6">
      <w:r>
        <w:separator/>
      </w:r>
    </w:p>
  </w:endnote>
  <w:endnote w:type="continuationSeparator" w:id="0">
    <w:p w:rsidR="005A32F8" w:rsidRDefault="005A32F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2F8" w:rsidRDefault="005A32F8" w:rsidP="00FF41A6">
      <w:r>
        <w:separator/>
      </w:r>
    </w:p>
  </w:footnote>
  <w:footnote w:type="continuationSeparator" w:id="0">
    <w:p w:rsidR="005A32F8" w:rsidRDefault="005A32F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36603"/>
    <w:rsid w:val="000556B9"/>
    <w:rsid w:val="00094E5E"/>
    <w:rsid w:val="000A78EE"/>
    <w:rsid w:val="000B7A8F"/>
    <w:rsid w:val="00136EEF"/>
    <w:rsid w:val="001B1D1C"/>
    <w:rsid w:val="00266C96"/>
    <w:rsid w:val="002B58CC"/>
    <w:rsid w:val="00320AF6"/>
    <w:rsid w:val="0033023A"/>
    <w:rsid w:val="00397A26"/>
    <w:rsid w:val="003D26F0"/>
    <w:rsid w:val="004038CE"/>
    <w:rsid w:val="00413297"/>
    <w:rsid w:val="00483B47"/>
    <w:rsid w:val="00487E9D"/>
    <w:rsid w:val="004E1488"/>
    <w:rsid w:val="005018C7"/>
    <w:rsid w:val="0055089C"/>
    <w:rsid w:val="005A32F8"/>
    <w:rsid w:val="00611215"/>
    <w:rsid w:val="006925A3"/>
    <w:rsid w:val="006A5983"/>
    <w:rsid w:val="006E16B6"/>
    <w:rsid w:val="006E396B"/>
    <w:rsid w:val="0070486C"/>
    <w:rsid w:val="007571A5"/>
    <w:rsid w:val="007F2AFE"/>
    <w:rsid w:val="0081785B"/>
    <w:rsid w:val="00835649"/>
    <w:rsid w:val="008829ED"/>
    <w:rsid w:val="008B1520"/>
    <w:rsid w:val="00915587"/>
    <w:rsid w:val="0096769E"/>
    <w:rsid w:val="00A11F2B"/>
    <w:rsid w:val="00A55FC1"/>
    <w:rsid w:val="00A627F7"/>
    <w:rsid w:val="00A76F00"/>
    <w:rsid w:val="00AB3DCA"/>
    <w:rsid w:val="00AF6EEF"/>
    <w:rsid w:val="00B00E2E"/>
    <w:rsid w:val="00B511D7"/>
    <w:rsid w:val="00B625CF"/>
    <w:rsid w:val="00B75A57"/>
    <w:rsid w:val="00BB0835"/>
    <w:rsid w:val="00BB09B1"/>
    <w:rsid w:val="00BB7310"/>
    <w:rsid w:val="00BC18CE"/>
    <w:rsid w:val="00BE1C55"/>
    <w:rsid w:val="00C7676D"/>
    <w:rsid w:val="00CD057F"/>
    <w:rsid w:val="00D159C3"/>
    <w:rsid w:val="00DC7E65"/>
    <w:rsid w:val="00DD7738"/>
    <w:rsid w:val="00DE3E17"/>
    <w:rsid w:val="00E22FB3"/>
    <w:rsid w:val="00E25639"/>
    <w:rsid w:val="00E31EF8"/>
    <w:rsid w:val="00EB2A23"/>
    <w:rsid w:val="00EE4ACF"/>
    <w:rsid w:val="00F0518D"/>
    <w:rsid w:val="00F45755"/>
    <w:rsid w:val="00F515B5"/>
    <w:rsid w:val="00F7627E"/>
    <w:rsid w:val="00FB18E1"/>
    <w:rsid w:val="00FB40D9"/>
    <w:rsid w:val="00FC602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7D70EA-545E-4DA9-A32F-E26313DA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B4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4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1158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2023-04-30T08:06:00Z</cp:lastPrinted>
  <dcterms:created xsi:type="dcterms:W3CDTF">2023-09-18T22:54:00Z</dcterms:created>
  <dcterms:modified xsi:type="dcterms:W3CDTF">2023-09-18T22:54:00Z</dcterms:modified>
</cp:coreProperties>
</file>