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A87F8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220F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pat-919 41 ANS </w:t>
      </w:r>
    </w:p>
    <w:p w:rsidR="005A69FD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87F8D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5A69FD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Bilan pré MA.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5A69F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5A69FD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5A69FD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5A69F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5A69F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5A69FD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A69FD" w:rsidRDefault="005A69F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5A69FD" w:rsidRDefault="005A69F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Remaniement cutané fin et régulier.</w:t>
      </w:r>
    </w:p>
    <w:p w:rsidR="005A69FD" w:rsidRDefault="005A69F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 : trois ganglions axillaires bilatéraux de morphologie conservée d’allure inflammatoire.</w:t>
      </w:r>
    </w:p>
    <w:p w:rsidR="005A69FD" w:rsidRDefault="005A69FD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A69FD">
        <w:rPr>
          <w:rFonts w:ascii="Georgia" w:hAnsi="Georgia"/>
          <w:b/>
          <w:bCs/>
          <w:i/>
          <w:color w:val="000000"/>
          <w:sz w:val="24"/>
        </w:rPr>
        <w:t xml:space="preserve">sans particularité, </w:t>
      </w:r>
      <w:r>
        <w:rPr>
          <w:rFonts w:ascii="Georgia" w:hAnsi="Georgia"/>
          <w:b/>
          <w:bCs/>
          <w:i/>
          <w:color w:val="000000"/>
          <w:sz w:val="24"/>
        </w:rPr>
        <w:t>classées BI-RADS 1 de l’ACR (sans particularité).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ACF" w:rsidRDefault="00A21ACF" w:rsidP="00FF41A6">
      <w:r>
        <w:separator/>
      </w:r>
    </w:p>
  </w:endnote>
  <w:endnote w:type="continuationSeparator" w:id="0">
    <w:p w:rsidR="00A21ACF" w:rsidRDefault="00A21AC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ACF" w:rsidRDefault="00A21ACF" w:rsidP="00FF41A6">
      <w:r>
        <w:separator/>
      </w:r>
    </w:p>
  </w:footnote>
  <w:footnote w:type="continuationSeparator" w:id="0">
    <w:p w:rsidR="00A21ACF" w:rsidRDefault="00A21AC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220F1"/>
    <w:rsid w:val="0055089C"/>
    <w:rsid w:val="005A69FD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21ACF"/>
    <w:rsid w:val="00A627F7"/>
    <w:rsid w:val="00A76F00"/>
    <w:rsid w:val="00A87F8D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15B97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CCB23E-7209-45B9-AEDA-B9DD53BA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2023-04-30T12:57:00Z</cp:lastPrinted>
  <dcterms:created xsi:type="dcterms:W3CDTF">2023-09-18T22:55:00Z</dcterms:created>
  <dcterms:modified xsi:type="dcterms:W3CDTF">2023-09-18T22:55:00Z</dcterms:modified>
</cp:coreProperties>
</file>