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B665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30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C638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pat-922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628BF" w:rsidRDefault="00BC18CE" w:rsidP="001628B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28BF">
        <w:rPr>
          <w:b/>
          <w:i/>
          <w:iCs/>
          <w:color w:val="000000"/>
          <w:sz w:val="24"/>
        </w:rPr>
        <w:t xml:space="preserve"> </w:t>
      </w:r>
      <w:r w:rsidR="00AB665C" w:rsidRPr="001628BF">
        <w:rPr>
          <w:b/>
          <w:i/>
          <w:iCs/>
          <w:color w:val="000000"/>
          <w:sz w:val="24"/>
        </w:rPr>
        <w:t>MAMMOGRAPHIE</w:t>
      </w:r>
      <w:r w:rsidR="001628BF" w:rsidRPr="001628B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628BF" w:rsidRDefault="00EB2A23">
      <w:pPr>
        <w:rPr>
          <w:b/>
          <w:color w:val="000000"/>
          <w:sz w:val="24"/>
          <w:szCs w:val="24"/>
        </w:rPr>
      </w:pPr>
      <w:r w:rsidRPr="001628BF">
        <w:rPr>
          <w:b/>
          <w:iCs/>
          <w:color w:val="000000"/>
          <w:sz w:val="24"/>
          <w:szCs w:val="24"/>
          <w:u w:val="single"/>
        </w:rPr>
        <w:t>RESULTATS</w:t>
      </w:r>
      <w:r w:rsidRPr="001628BF">
        <w:rPr>
          <w:b/>
          <w:i/>
          <w:color w:val="000000"/>
          <w:sz w:val="24"/>
          <w:szCs w:val="24"/>
        </w:rPr>
        <w:t>:</w:t>
      </w:r>
      <w:r w:rsidRPr="001628BF">
        <w:rPr>
          <w:b/>
          <w:color w:val="000000"/>
          <w:sz w:val="24"/>
          <w:szCs w:val="24"/>
        </w:rPr>
        <w:t xml:space="preserve"> 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8BF" w:rsidRDefault="00B32AB7" w:rsidP="001628BF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 xml:space="preserve">Seins </w:t>
      </w:r>
      <w:r w:rsidR="001628BF">
        <w:rPr>
          <w:bCs/>
          <w:color w:val="000000"/>
          <w:sz w:val="24"/>
          <w:szCs w:val="24"/>
        </w:rPr>
        <w:t>denses hétérogènes</w:t>
      </w:r>
      <w:r w:rsidRPr="001628BF">
        <w:rPr>
          <w:bCs/>
          <w:color w:val="000000"/>
          <w:sz w:val="24"/>
          <w:szCs w:val="24"/>
        </w:rPr>
        <w:t xml:space="preserve"> type </w:t>
      </w:r>
      <w:r w:rsidR="001628BF">
        <w:rPr>
          <w:bCs/>
          <w:color w:val="000000"/>
          <w:sz w:val="24"/>
          <w:szCs w:val="24"/>
        </w:rPr>
        <w:t>c</w:t>
      </w:r>
      <w:r w:rsidRPr="001628BF">
        <w:rPr>
          <w:bCs/>
          <w:color w:val="000000"/>
          <w:sz w:val="24"/>
          <w:szCs w:val="24"/>
        </w:rPr>
        <w:t xml:space="preserve"> de l’ACR.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>Absence</w:t>
      </w:r>
      <w:r w:rsidR="00117B7C">
        <w:rPr>
          <w:bCs/>
          <w:color w:val="000000"/>
          <w:sz w:val="24"/>
          <w:szCs w:val="24"/>
        </w:rPr>
        <w:t xml:space="preserve"> de syndrome de masse ou</w:t>
      </w:r>
      <w:r w:rsidRPr="001628BF">
        <w:rPr>
          <w:bCs/>
          <w:color w:val="000000"/>
          <w:sz w:val="24"/>
          <w:szCs w:val="24"/>
        </w:rPr>
        <w:t xml:space="preserve"> d’image d’opacité nodulo-stellaire.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>Absence</w:t>
      </w:r>
      <w:r w:rsidR="00117B7C">
        <w:rPr>
          <w:bCs/>
          <w:color w:val="000000"/>
          <w:sz w:val="24"/>
          <w:szCs w:val="24"/>
        </w:rPr>
        <w:t xml:space="preserve"> de désorganisation architecturale ou</w:t>
      </w:r>
      <w:r w:rsidRPr="001628BF">
        <w:rPr>
          <w:bCs/>
          <w:color w:val="000000"/>
          <w:sz w:val="24"/>
          <w:szCs w:val="24"/>
        </w:rPr>
        <w:t xml:space="preserve"> de foyer de micro-calcifications péjoratif.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>Absence d’adénopathies axillaires.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8BF" w:rsidRDefault="00B32AB7" w:rsidP="00C72C70">
      <w:pPr>
        <w:ind w:firstLine="708"/>
        <w:rPr>
          <w:bCs/>
          <w:color w:val="000000"/>
          <w:sz w:val="24"/>
          <w:szCs w:val="24"/>
        </w:rPr>
      </w:pPr>
      <w:r w:rsidRPr="001628B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628BF" w:rsidRPr="001628BF">
        <w:rPr>
          <w:b/>
          <w:bCs/>
          <w:i/>
          <w:color w:val="000000"/>
          <w:sz w:val="24"/>
          <w:szCs w:val="24"/>
          <w:u w:val="single"/>
        </w:rPr>
        <w:t> :</w:t>
      </w:r>
      <w:r w:rsidRPr="001628B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1628BF" w:rsidRDefault="00B32AB7" w:rsidP="00C72C70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 xml:space="preserve">Absence </w:t>
      </w:r>
      <w:r w:rsidR="00C72C70">
        <w:rPr>
          <w:bCs/>
          <w:color w:val="000000"/>
          <w:sz w:val="24"/>
          <w:szCs w:val="24"/>
        </w:rPr>
        <w:t xml:space="preserve">de syndrome </w:t>
      </w:r>
      <w:r w:rsidRPr="001628BF">
        <w:rPr>
          <w:bCs/>
          <w:color w:val="000000"/>
          <w:sz w:val="24"/>
          <w:szCs w:val="24"/>
        </w:rPr>
        <w:t>de masse solide ou kystique</w:t>
      </w:r>
      <w:r w:rsidR="00C72C70">
        <w:rPr>
          <w:bCs/>
          <w:color w:val="000000"/>
          <w:sz w:val="24"/>
          <w:szCs w:val="24"/>
        </w:rPr>
        <w:t xml:space="preserve"> suspecte</w:t>
      </w:r>
      <w:r w:rsidRPr="001628BF">
        <w:rPr>
          <w:bCs/>
          <w:color w:val="000000"/>
          <w:sz w:val="24"/>
          <w:szCs w:val="24"/>
        </w:rPr>
        <w:t>.</w:t>
      </w:r>
    </w:p>
    <w:p w:rsidR="00B32AB7" w:rsidRPr="001628BF" w:rsidRDefault="00C72C7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à contenu transonore homogène, à paroi fine, mesurée 2,6 mm de diamètre à gauche et 3,2 mm à droite.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C72C7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C72C70" w:rsidRPr="001628BF" w:rsidRDefault="00C72C7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cutané.</w:t>
      </w:r>
    </w:p>
    <w:p w:rsidR="00B32AB7" w:rsidRPr="001628BF" w:rsidRDefault="00296EC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ovalaires, à centre graisseux et cortex hypoéchogène régulier</w:t>
      </w:r>
      <w:r w:rsidR="005F378D">
        <w:rPr>
          <w:bCs/>
          <w:color w:val="000000"/>
          <w:sz w:val="24"/>
          <w:szCs w:val="24"/>
        </w:rPr>
        <w:t>, d’allure inflammatoire.</w:t>
      </w:r>
    </w:p>
    <w:p w:rsidR="00B32AB7" w:rsidRPr="001628BF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8BF" w:rsidRDefault="001628B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628B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628BF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1628BF" w:rsidRDefault="00FD79A4" w:rsidP="00651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628B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5F378D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1628BF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E76C5A">
        <w:rPr>
          <w:b/>
          <w:bCs/>
          <w:i/>
          <w:color w:val="000000"/>
          <w:sz w:val="24"/>
          <w:szCs w:val="24"/>
        </w:rPr>
        <w:t> </w:t>
      </w:r>
      <w:r w:rsidR="0065185A">
        <w:rPr>
          <w:b/>
          <w:bCs/>
          <w:i/>
          <w:color w:val="000000"/>
          <w:sz w:val="24"/>
          <w:szCs w:val="24"/>
        </w:rPr>
        <w:t>: examen</w:t>
      </w:r>
      <w:r w:rsidR="00E76C5A" w:rsidRPr="001628BF">
        <w:rPr>
          <w:b/>
          <w:bCs/>
          <w:i/>
          <w:color w:val="000000"/>
          <w:sz w:val="24"/>
          <w:szCs w:val="24"/>
        </w:rPr>
        <w:t xml:space="preserve"> classé BI-RADS </w:t>
      </w:r>
      <w:r w:rsidR="00E76C5A">
        <w:rPr>
          <w:b/>
          <w:bCs/>
          <w:i/>
          <w:color w:val="000000"/>
          <w:sz w:val="24"/>
          <w:szCs w:val="24"/>
        </w:rPr>
        <w:t>2</w:t>
      </w:r>
      <w:r w:rsidR="00E76C5A" w:rsidRPr="001628BF">
        <w:rPr>
          <w:b/>
          <w:bCs/>
          <w:i/>
          <w:color w:val="000000"/>
          <w:sz w:val="24"/>
          <w:szCs w:val="24"/>
        </w:rPr>
        <w:t xml:space="preserve"> de l’ACR</w:t>
      </w:r>
      <w:r w:rsidR="00E76C5A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65185A">
        <w:rPr>
          <w:b/>
          <w:bCs/>
          <w:i/>
          <w:color w:val="000000"/>
          <w:sz w:val="24"/>
          <w:szCs w:val="24"/>
        </w:rPr>
        <w:t xml:space="preserve"> (</w:t>
      </w:r>
      <w:r w:rsidR="005F378D">
        <w:rPr>
          <w:b/>
          <w:bCs/>
          <w:i/>
          <w:color w:val="000000"/>
          <w:sz w:val="24"/>
          <w:szCs w:val="24"/>
        </w:rPr>
        <w:t>ectasie canalaire rétro-aréolaire simple bilatérale</w:t>
      </w:r>
      <w:r w:rsidR="0065185A">
        <w:rPr>
          <w:b/>
          <w:bCs/>
          <w:i/>
          <w:color w:val="000000"/>
          <w:sz w:val="24"/>
          <w:szCs w:val="24"/>
        </w:rPr>
        <w:t>)</w:t>
      </w:r>
      <w:r w:rsidR="00B32AB7" w:rsidRPr="001628BF">
        <w:rPr>
          <w:b/>
          <w:bCs/>
          <w:i/>
          <w:color w:val="000000"/>
          <w:sz w:val="24"/>
          <w:szCs w:val="24"/>
        </w:rPr>
        <w:t>.</w:t>
      </w:r>
    </w:p>
    <w:p w:rsidR="00B32AB7" w:rsidRPr="001628BF" w:rsidRDefault="00FD79A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628BF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1628BF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0676BF" w:rsidRPr="001628BF" w:rsidRDefault="000676B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1628BF">
        <w:rPr>
          <w:bCs/>
          <w:color w:val="000000"/>
          <w:sz w:val="24"/>
          <w:szCs w:val="24"/>
        </w:rPr>
        <w:t xml:space="preserve"> </w:t>
      </w:r>
    </w:p>
    <w:p w:rsidR="001628BF" w:rsidRPr="001628BF" w:rsidRDefault="001628BF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1628BF" w:rsidRDefault="00EB2A23">
      <w:pPr>
        <w:rPr>
          <w:b/>
          <w:color w:val="000000"/>
          <w:sz w:val="24"/>
          <w:szCs w:val="24"/>
        </w:rPr>
      </w:pPr>
    </w:p>
    <w:p w:rsidR="00EB2A23" w:rsidRPr="001628BF" w:rsidRDefault="00EB2A23">
      <w:pPr>
        <w:rPr>
          <w:sz w:val="24"/>
          <w:szCs w:val="24"/>
        </w:rPr>
      </w:pPr>
    </w:p>
    <w:p w:rsidR="00EB2A23" w:rsidRPr="001628BF" w:rsidRDefault="00EB2A23">
      <w:pPr>
        <w:rPr>
          <w:sz w:val="24"/>
          <w:szCs w:val="24"/>
        </w:rPr>
      </w:pPr>
    </w:p>
    <w:p w:rsidR="00320AF6" w:rsidRPr="001628BF" w:rsidRDefault="00320AF6">
      <w:pPr>
        <w:rPr>
          <w:sz w:val="24"/>
          <w:szCs w:val="24"/>
        </w:rPr>
      </w:pPr>
    </w:p>
    <w:sectPr w:rsidR="00320AF6" w:rsidRPr="001628B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7F7" w:rsidRDefault="00D907F7" w:rsidP="00FF41A6">
      <w:r>
        <w:separator/>
      </w:r>
    </w:p>
  </w:endnote>
  <w:endnote w:type="continuationSeparator" w:id="0">
    <w:p w:rsidR="00D907F7" w:rsidRDefault="00D907F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7F7" w:rsidRDefault="00D907F7" w:rsidP="00FF41A6">
      <w:r>
        <w:separator/>
      </w:r>
    </w:p>
  </w:footnote>
  <w:footnote w:type="continuationSeparator" w:id="0">
    <w:p w:rsidR="00D907F7" w:rsidRDefault="00D907F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676BF"/>
    <w:rsid w:val="00094E5E"/>
    <w:rsid w:val="000A78EE"/>
    <w:rsid w:val="000B7A8F"/>
    <w:rsid w:val="00117B7C"/>
    <w:rsid w:val="00136EEF"/>
    <w:rsid w:val="001628BF"/>
    <w:rsid w:val="00266C96"/>
    <w:rsid w:val="00291FF6"/>
    <w:rsid w:val="00296EC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378D"/>
    <w:rsid w:val="0065185A"/>
    <w:rsid w:val="006925A3"/>
    <w:rsid w:val="006A5983"/>
    <w:rsid w:val="006C5CB9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82E6C"/>
    <w:rsid w:val="00AB3DCA"/>
    <w:rsid w:val="00AB665C"/>
    <w:rsid w:val="00AF6EEF"/>
    <w:rsid w:val="00B00E2E"/>
    <w:rsid w:val="00B32AB7"/>
    <w:rsid w:val="00B511D7"/>
    <w:rsid w:val="00B625CF"/>
    <w:rsid w:val="00B75A57"/>
    <w:rsid w:val="00BB7310"/>
    <w:rsid w:val="00BC18CE"/>
    <w:rsid w:val="00BC76F7"/>
    <w:rsid w:val="00BE1C55"/>
    <w:rsid w:val="00C24992"/>
    <w:rsid w:val="00C72C70"/>
    <w:rsid w:val="00C7676D"/>
    <w:rsid w:val="00C821F0"/>
    <w:rsid w:val="00CC638B"/>
    <w:rsid w:val="00CD057F"/>
    <w:rsid w:val="00D159C3"/>
    <w:rsid w:val="00D907F7"/>
    <w:rsid w:val="00DC7E65"/>
    <w:rsid w:val="00DE3E17"/>
    <w:rsid w:val="00E25639"/>
    <w:rsid w:val="00E31EF8"/>
    <w:rsid w:val="00E76C5A"/>
    <w:rsid w:val="00EB2A23"/>
    <w:rsid w:val="00EE4ACF"/>
    <w:rsid w:val="00F45755"/>
    <w:rsid w:val="00F515B5"/>
    <w:rsid w:val="00F7627E"/>
    <w:rsid w:val="00FB18E1"/>
    <w:rsid w:val="00FD79A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11E6AE-5A45-4B96-9152-EB9CB89E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