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F608C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471C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pat-930 68 ANS </w:t>
      </w:r>
    </w:p>
    <w:p w:rsidR="00EB2A23" w:rsidRDefault="00F608C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FF1EE8">
        <w:rPr>
          <w:b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FF1EE8" w:rsidRPr="00FF1EE8" w:rsidRDefault="00FF1EE8">
      <w:pPr>
        <w:rPr>
          <w:b/>
          <w:iCs/>
          <w:color w:val="000000"/>
          <w:sz w:val="24"/>
          <w:szCs w:val="24"/>
          <w:u w:val="single"/>
        </w:rPr>
      </w:pPr>
      <w:r w:rsidRPr="00FF1EE8">
        <w:rPr>
          <w:b/>
          <w:iCs/>
          <w:color w:val="000000"/>
          <w:sz w:val="24"/>
          <w:szCs w:val="24"/>
          <w:u w:val="single"/>
        </w:rPr>
        <w:t>INDICTAION :</w:t>
      </w:r>
    </w:p>
    <w:p w:rsidR="00FF1EE8" w:rsidRPr="00FF1EE8" w:rsidRDefault="00FF1EE8">
      <w:pPr>
        <w:rPr>
          <w:b/>
          <w:iCs/>
          <w:color w:val="000000"/>
          <w:sz w:val="24"/>
          <w:szCs w:val="24"/>
          <w:u w:val="single"/>
        </w:rPr>
      </w:pPr>
    </w:p>
    <w:p w:rsidR="00FF1EE8" w:rsidRDefault="00FF1EE8" w:rsidP="00FF1EE8">
      <w:pPr>
        <w:rPr>
          <w:bCs/>
          <w:iCs/>
          <w:color w:val="000000"/>
          <w:sz w:val="24"/>
          <w:szCs w:val="24"/>
        </w:rPr>
      </w:pPr>
      <w:r w:rsidRPr="00FF1EE8">
        <w:rPr>
          <w:bCs/>
          <w:iCs/>
          <w:color w:val="000000"/>
          <w:sz w:val="24"/>
          <w:szCs w:val="24"/>
        </w:rPr>
        <w:t>Contrôle chez une patiente</w:t>
      </w:r>
      <w:r>
        <w:rPr>
          <w:bCs/>
          <w:iCs/>
          <w:color w:val="000000"/>
          <w:sz w:val="24"/>
          <w:szCs w:val="24"/>
        </w:rPr>
        <w:t xml:space="preserve"> opérée d’une néoplasie mammaire droite avec traitement radical.</w:t>
      </w:r>
    </w:p>
    <w:p w:rsidR="00FF1EE8" w:rsidRPr="00FF1EE8" w:rsidRDefault="00FF1EE8" w:rsidP="00FF1EE8">
      <w:pPr>
        <w:rPr>
          <w:bCs/>
          <w:iCs/>
          <w:color w:val="000000"/>
          <w:sz w:val="24"/>
          <w:szCs w:val="24"/>
        </w:rPr>
      </w:pPr>
    </w:p>
    <w:p w:rsidR="00FF1EE8" w:rsidRPr="00FF1EE8" w:rsidRDefault="00FF1EE8">
      <w:pPr>
        <w:rPr>
          <w:b/>
          <w:iCs/>
          <w:color w:val="000000"/>
          <w:sz w:val="24"/>
          <w:szCs w:val="24"/>
          <w:u w:val="single"/>
        </w:rPr>
      </w:pPr>
    </w:p>
    <w:p w:rsidR="00EB2A23" w:rsidRPr="00FF1EE8" w:rsidRDefault="00EB2A23">
      <w:pPr>
        <w:rPr>
          <w:b/>
          <w:color w:val="000000"/>
          <w:sz w:val="24"/>
          <w:szCs w:val="24"/>
        </w:rPr>
      </w:pPr>
      <w:r w:rsidRPr="00FF1EE8">
        <w:rPr>
          <w:b/>
          <w:iCs/>
          <w:color w:val="000000"/>
          <w:sz w:val="24"/>
          <w:szCs w:val="24"/>
          <w:u w:val="single"/>
        </w:rPr>
        <w:t>RESULTATS</w:t>
      </w:r>
      <w:r w:rsidRPr="00FF1EE8">
        <w:rPr>
          <w:b/>
          <w:i/>
          <w:color w:val="000000"/>
          <w:sz w:val="24"/>
          <w:szCs w:val="24"/>
        </w:rPr>
        <w:t>:</w:t>
      </w:r>
      <w:r w:rsidRPr="00FF1EE8">
        <w:rPr>
          <w:b/>
          <w:color w:val="000000"/>
          <w:sz w:val="24"/>
          <w:szCs w:val="24"/>
        </w:rPr>
        <w:t xml:space="preserve"> </w:t>
      </w:r>
    </w:p>
    <w:p w:rsidR="00FF1EE8" w:rsidRPr="00FF1EE8" w:rsidRDefault="00FF1EE8" w:rsidP="00FF1EE8">
      <w:pPr>
        <w:rPr>
          <w:b/>
          <w:color w:val="000000"/>
          <w:sz w:val="24"/>
          <w:szCs w:val="24"/>
        </w:rPr>
      </w:pPr>
    </w:p>
    <w:p w:rsidR="00FF1EE8" w:rsidRPr="00FF1EE8" w:rsidRDefault="00FF1EE8" w:rsidP="00FF1EE8">
      <w:pPr>
        <w:rPr>
          <w:sz w:val="24"/>
          <w:szCs w:val="24"/>
        </w:rPr>
      </w:pPr>
      <w:r w:rsidRPr="00FF1EE8">
        <w:rPr>
          <w:sz w:val="24"/>
          <w:szCs w:val="24"/>
        </w:rPr>
        <w:t>Sein gauche dense hétérogène, type c de l’ACR.</w:t>
      </w:r>
    </w:p>
    <w:p w:rsidR="00FF1EE8" w:rsidRPr="00FF1EE8" w:rsidRDefault="00FF1EE8" w:rsidP="00FF1EE8">
      <w:pPr>
        <w:rPr>
          <w:sz w:val="24"/>
          <w:szCs w:val="24"/>
        </w:rPr>
      </w:pPr>
    </w:p>
    <w:p w:rsidR="00FF1EE8" w:rsidRPr="00FF1EE8" w:rsidRDefault="00FF1EE8" w:rsidP="00FF1EE8">
      <w:pPr>
        <w:rPr>
          <w:sz w:val="24"/>
          <w:szCs w:val="24"/>
        </w:rPr>
      </w:pPr>
      <w:r w:rsidRPr="00FF1EE8">
        <w:rPr>
          <w:sz w:val="24"/>
          <w:szCs w:val="24"/>
        </w:rPr>
        <w:t>Présence de quelques opacités arrondies éparses, de densité moyenne, homogènes, sans microcalcifications en leurs seins.</w:t>
      </w:r>
    </w:p>
    <w:p w:rsidR="00FF1EE8" w:rsidRPr="00FF1EE8" w:rsidRDefault="00FF1EE8" w:rsidP="00FF1EE8">
      <w:pPr>
        <w:rPr>
          <w:sz w:val="24"/>
          <w:szCs w:val="24"/>
        </w:rPr>
      </w:pPr>
    </w:p>
    <w:p w:rsidR="00FF1EE8" w:rsidRPr="00FF1EE8" w:rsidRDefault="00FF1EE8" w:rsidP="00FF1EE8">
      <w:pPr>
        <w:rPr>
          <w:sz w:val="24"/>
          <w:szCs w:val="24"/>
        </w:rPr>
      </w:pPr>
      <w:r w:rsidRPr="00FF1EE8">
        <w:rPr>
          <w:sz w:val="24"/>
          <w:szCs w:val="24"/>
        </w:rPr>
        <w:t>Calcifications dystrophiques éparses.</w:t>
      </w:r>
    </w:p>
    <w:p w:rsidR="00FF1EE8" w:rsidRPr="00FF1EE8" w:rsidRDefault="00FF1EE8" w:rsidP="00FF1EE8">
      <w:pPr>
        <w:rPr>
          <w:sz w:val="24"/>
          <w:szCs w:val="24"/>
        </w:rPr>
      </w:pPr>
    </w:p>
    <w:p w:rsidR="00FF1EE8" w:rsidRPr="00FF1EE8" w:rsidRDefault="00FF1EE8" w:rsidP="00FF1EE8">
      <w:pPr>
        <w:rPr>
          <w:sz w:val="24"/>
          <w:szCs w:val="24"/>
        </w:rPr>
      </w:pPr>
      <w:r w:rsidRPr="00FF1EE8">
        <w:rPr>
          <w:sz w:val="24"/>
          <w:szCs w:val="24"/>
        </w:rPr>
        <w:t>Absence de micro-calcifications groupées en amas ni de désorganisation architecturale.</w:t>
      </w:r>
    </w:p>
    <w:p w:rsidR="00FF1EE8" w:rsidRPr="00FF1EE8" w:rsidRDefault="00FF1EE8" w:rsidP="00FF1EE8">
      <w:pPr>
        <w:rPr>
          <w:sz w:val="24"/>
          <w:szCs w:val="24"/>
        </w:rPr>
      </w:pPr>
    </w:p>
    <w:p w:rsidR="00FF1EE8" w:rsidRPr="00FF1EE8" w:rsidRDefault="00FF1EE8" w:rsidP="00FF1EE8">
      <w:pPr>
        <w:rPr>
          <w:sz w:val="24"/>
          <w:szCs w:val="24"/>
        </w:rPr>
      </w:pPr>
      <w:r w:rsidRPr="00FF1EE8">
        <w:rPr>
          <w:sz w:val="24"/>
          <w:szCs w:val="24"/>
        </w:rPr>
        <w:t>Absence de surcroît de densité.</w:t>
      </w:r>
    </w:p>
    <w:p w:rsidR="00FF1EE8" w:rsidRPr="00FF1EE8" w:rsidRDefault="00FF1EE8" w:rsidP="00FF1EE8">
      <w:pPr>
        <w:rPr>
          <w:sz w:val="24"/>
          <w:szCs w:val="24"/>
        </w:rPr>
      </w:pPr>
    </w:p>
    <w:p w:rsidR="00FF1EE8" w:rsidRPr="00FF1EE8" w:rsidRDefault="00FF1EE8" w:rsidP="00FF1EE8">
      <w:pPr>
        <w:rPr>
          <w:sz w:val="24"/>
          <w:szCs w:val="24"/>
        </w:rPr>
      </w:pPr>
    </w:p>
    <w:p w:rsidR="00FF1EE8" w:rsidRDefault="00FF1EE8" w:rsidP="00FF1EE8">
      <w:pPr>
        <w:rPr>
          <w:sz w:val="24"/>
          <w:szCs w:val="24"/>
        </w:rPr>
      </w:pPr>
      <w:r w:rsidRPr="00FF1EE8"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> :</w:t>
      </w:r>
    </w:p>
    <w:p w:rsidR="00FF1EE8" w:rsidRDefault="00FF1EE8" w:rsidP="00FF1EE8">
      <w:pPr>
        <w:rPr>
          <w:sz w:val="24"/>
          <w:szCs w:val="24"/>
        </w:rPr>
      </w:pPr>
    </w:p>
    <w:p w:rsidR="00FF1EE8" w:rsidRPr="00023793" w:rsidRDefault="00FF1EE8" w:rsidP="00FF1EE8">
      <w:pPr>
        <w:rPr>
          <w:b/>
          <w:bCs/>
          <w:i/>
          <w:iCs/>
          <w:sz w:val="24"/>
          <w:szCs w:val="24"/>
        </w:rPr>
      </w:pPr>
      <w:r w:rsidRPr="00023793">
        <w:rPr>
          <w:b/>
          <w:bCs/>
          <w:i/>
          <w:iCs/>
          <w:sz w:val="24"/>
          <w:szCs w:val="24"/>
        </w:rPr>
        <w:t>Sein gauche :</w:t>
      </w:r>
    </w:p>
    <w:p w:rsidR="00FF1EE8" w:rsidRDefault="00FF1EE8" w:rsidP="00DF231A">
      <w:pPr>
        <w:rPr>
          <w:sz w:val="24"/>
          <w:szCs w:val="24"/>
        </w:rPr>
      </w:pPr>
      <w:r>
        <w:rPr>
          <w:sz w:val="24"/>
          <w:szCs w:val="24"/>
        </w:rPr>
        <w:t xml:space="preserve">Les opacités sus décrites correspondent à des formations kystiques simples à paroi fine et à contenu transonore, de répartition éparse, de taille mesurée à moins de </w:t>
      </w:r>
      <w:r w:rsidR="00DF231A">
        <w:rPr>
          <w:sz w:val="24"/>
          <w:szCs w:val="24"/>
        </w:rPr>
        <w:t xml:space="preserve">10 </w:t>
      </w:r>
      <w:r>
        <w:rPr>
          <w:sz w:val="24"/>
          <w:szCs w:val="24"/>
        </w:rPr>
        <w:t>mm.</w:t>
      </w:r>
    </w:p>
    <w:p w:rsidR="00023793" w:rsidRDefault="00FF1EE8" w:rsidP="00023793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péjoratif.</w:t>
      </w:r>
    </w:p>
    <w:p w:rsidR="00023793" w:rsidRDefault="00023793" w:rsidP="00023793">
      <w:pPr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023793" w:rsidRDefault="00023793" w:rsidP="00023793">
      <w:pPr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023793" w:rsidRDefault="00023793" w:rsidP="00FF1EE8">
      <w:pPr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FF1EE8" w:rsidRDefault="00DF231A" w:rsidP="00DF231A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</w:p>
    <w:p w:rsidR="00FF1EE8" w:rsidRPr="00FF1EE8" w:rsidRDefault="00FF1EE8" w:rsidP="00023793">
      <w:pPr>
        <w:rPr>
          <w:sz w:val="24"/>
          <w:szCs w:val="24"/>
        </w:rPr>
      </w:pPr>
    </w:p>
    <w:p w:rsidR="00FF1EE8" w:rsidRPr="00FF1EE8" w:rsidRDefault="00FF1EE8" w:rsidP="00DF231A">
      <w:pPr>
        <w:rPr>
          <w:sz w:val="24"/>
          <w:szCs w:val="24"/>
        </w:rPr>
      </w:pPr>
      <w:r w:rsidRPr="00FF1EE8">
        <w:rPr>
          <w:b/>
          <w:i/>
          <w:sz w:val="24"/>
          <w:szCs w:val="24"/>
        </w:rPr>
        <w:t>L’échographie réalisée</w:t>
      </w:r>
      <w:r w:rsidRPr="00FF1EE8">
        <w:rPr>
          <w:sz w:val="24"/>
          <w:szCs w:val="24"/>
        </w:rPr>
        <w:t xml:space="preserve">  en regard du lit chirurgical </w:t>
      </w:r>
      <w:r w:rsidR="00DF231A">
        <w:rPr>
          <w:sz w:val="24"/>
          <w:szCs w:val="24"/>
        </w:rPr>
        <w:t xml:space="preserve">et du prolongement axillaire </w:t>
      </w:r>
      <w:r w:rsidRPr="00FF1EE8">
        <w:rPr>
          <w:sz w:val="24"/>
          <w:szCs w:val="24"/>
        </w:rPr>
        <w:t xml:space="preserve">à </w:t>
      </w:r>
      <w:r w:rsidR="00DF231A">
        <w:rPr>
          <w:sz w:val="24"/>
          <w:szCs w:val="24"/>
        </w:rPr>
        <w:t>droite ne retrouve pas de collection,</w:t>
      </w:r>
      <w:r w:rsidRPr="00FF1EE8">
        <w:rPr>
          <w:sz w:val="24"/>
          <w:szCs w:val="24"/>
        </w:rPr>
        <w:t xml:space="preserve"> de syndrome de masse à caractère suspect</w:t>
      </w:r>
      <w:r w:rsidR="00DF231A" w:rsidRPr="00DF231A">
        <w:rPr>
          <w:sz w:val="24"/>
          <w:szCs w:val="24"/>
        </w:rPr>
        <w:t xml:space="preserve"> </w:t>
      </w:r>
      <w:r w:rsidR="00DF231A">
        <w:rPr>
          <w:sz w:val="24"/>
          <w:szCs w:val="24"/>
        </w:rPr>
        <w:t xml:space="preserve">ni </w:t>
      </w:r>
      <w:r w:rsidR="00DF231A" w:rsidRPr="00FF1EE8">
        <w:rPr>
          <w:sz w:val="24"/>
          <w:szCs w:val="24"/>
        </w:rPr>
        <w:t>d’adénopathies axillaires</w:t>
      </w:r>
      <w:r w:rsidRPr="00FF1EE8">
        <w:rPr>
          <w:sz w:val="24"/>
          <w:szCs w:val="24"/>
        </w:rPr>
        <w:t>.</w:t>
      </w:r>
    </w:p>
    <w:p w:rsidR="00FF1EE8" w:rsidRPr="00FF1EE8" w:rsidRDefault="00FF1EE8" w:rsidP="00FF1EE8">
      <w:pPr>
        <w:rPr>
          <w:sz w:val="24"/>
          <w:szCs w:val="24"/>
        </w:rPr>
      </w:pPr>
    </w:p>
    <w:p w:rsidR="00FF1EE8" w:rsidRPr="00FF1EE8" w:rsidRDefault="00FF1EE8" w:rsidP="00FF1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FF1EE8">
        <w:rPr>
          <w:b/>
          <w:i/>
          <w:sz w:val="24"/>
          <w:szCs w:val="24"/>
          <w:u w:val="single"/>
        </w:rPr>
        <w:t>CONCLUSION </w:t>
      </w:r>
      <w:r w:rsidRPr="00FF1EE8">
        <w:rPr>
          <w:b/>
          <w:i/>
          <w:sz w:val="24"/>
          <w:szCs w:val="24"/>
        </w:rPr>
        <w:t>:</w:t>
      </w:r>
    </w:p>
    <w:p w:rsidR="00FF1EE8" w:rsidRDefault="00FF1EE8" w:rsidP="00DF2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FF1EE8">
        <w:rPr>
          <w:b/>
          <w:i/>
          <w:sz w:val="24"/>
          <w:szCs w:val="24"/>
        </w:rPr>
        <w:t xml:space="preserve">Mammographie unilatérale </w:t>
      </w:r>
      <w:r w:rsidR="00DF231A">
        <w:rPr>
          <w:b/>
          <w:i/>
          <w:sz w:val="24"/>
          <w:szCs w:val="24"/>
        </w:rPr>
        <w:t xml:space="preserve">gauche </w:t>
      </w:r>
      <w:r w:rsidRPr="00FF1EE8">
        <w:rPr>
          <w:b/>
          <w:i/>
          <w:sz w:val="24"/>
          <w:szCs w:val="24"/>
        </w:rPr>
        <w:t xml:space="preserve"> et échographie mammaire </w:t>
      </w:r>
      <w:r w:rsidR="00DF231A">
        <w:rPr>
          <w:b/>
          <w:i/>
          <w:sz w:val="24"/>
          <w:szCs w:val="24"/>
        </w:rPr>
        <w:t>en rapport avec une dystrophie kystique simple, sans lésion à caractère péjoratif.</w:t>
      </w:r>
    </w:p>
    <w:p w:rsidR="00DF231A" w:rsidRPr="00FF1EE8" w:rsidRDefault="00DF231A" w:rsidP="00DF2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L’échographie du lit chirurgical revient sans particularité.</w:t>
      </w:r>
    </w:p>
    <w:p w:rsidR="00FF1EE8" w:rsidRPr="00FF1EE8" w:rsidRDefault="00FF1EE8" w:rsidP="00DF2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FF1EE8">
        <w:rPr>
          <w:b/>
          <w:i/>
          <w:sz w:val="24"/>
          <w:szCs w:val="24"/>
        </w:rPr>
        <w:t xml:space="preserve">Examen classé BI-RADS </w:t>
      </w:r>
      <w:r w:rsidR="00DF231A">
        <w:rPr>
          <w:b/>
          <w:i/>
          <w:sz w:val="24"/>
          <w:szCs w:val="24"/>
        </w:rPr>
        <w:t>2</w:t>
      </w:r>
      <w:r w:rsidRPr="00FF1EE8">
        <w:rPr>
          <w:b/>
          <w:i/>
          <w:sz w:val="24"/>
          <w:szCs w:val="24"/>
        </w:rPr>
        <w:t xml:space="preserve"> de l'ACR  à </w:t>
      </w:r>
      <w:r w:rsidR="00DF231A">
        <w:rPr>
          <w:b/>
          <w:i/>
          <w:sz w:val="24"/>
          <w:szCs w:val="24"/>
        </w:rPr>
        <w:t xml:space="preserve"> gauche.</w:t>
      </w:r>
    </w:p>
    <w:p w:rsidR="00EB2A23" w:rsidRPr="00DF231A" w:rsidRDefault="00FF1EE8" w:rsidP="00DF231A">
      <w:pPr>
        <w:rPr>
          <w:bCs/>
          <w:color w:val="000000"/>
          <w:sz w:val="24"/>
          <w:szCs w:val="24"/>
        </w:rPr>
      </w:pPr>
      <w:r w:rsidRPr="00FF1EE8">
        <w:rPr>
          <w:bCs/>
          <w:color w:val="000000"/>
          <w:sz w:val="24"/>
          <w:szCs w:val="24"/>
        </w:rPr>
        <w:t xml:space="preserve"> </w:t>
      </w:r>
    </w:p>
    <w:p w:rsidR="00EB2A23" w:rsidRPr="00FF1EE8" w:rsidRDefault="00EB2A23">
      <w:pPr>
        <w:rPr>
          <w:b/>
          <w:color w:val="000000"/>
          <w:sz w:val="24"/>
          <w:szCs w:val="24"/>
        </w:rPr>
      </w:pPr>
    </w:p>
    <w:p w:rsidR="00EB2A23" w:rsidRPr="00FF1EE8" w:rsidRDefault="00EB2A23">
      <w:pPr>
        <w:rPr>
          <w:sz w:val="24"/>
          <w:szCs w:val="24"/>
        </w:rPr>
      </w:pPr>
    </w:p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6E3" w:rsidRDefault="00D806E3" w:rsidP="00FF41A6">
      <w:r>
        <w:separator/>
      </w:r>
    </w:p>
  </w:endnote>
  <w:endnote w:type="continuationSeparator" w:id="0">
    <w:p w:rsidR="00D806E3" w:rsidRDefault="00D806E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793" w:rsidRDefault="00023793" w:rsidP="00F515B5">
    <w:pPr>
      <w:jc w:val="center"/>
      <w:rPr>
        <w:rFonts w:eastAsia="Calibri"/>
        <w:i/>
        <w:iCs/>
        <w:sz w:val="18"/>
        <w:szCs w:val="18"/>
      </w:rPr>
    </w:pPr>
  </w:p>
  <w:p w:rsidR="00023793" w:rsidRDefault="00023793" w:rsidP="00F515B5">
    <w:pPr>
      <w:tabs>
        <w:tab w:val="center" w:pos="4536"/>
        <w:tab w:val="right" w:pos="9072"/>
      </w:tabs>
      <w:jc w:val="center"/>
    </w:pPr>
  </w:p>
  <w:p w:rsidR="00023793" w:rsidRPr="00F515B5" w:rsidRDefault="0002379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6E3" w:rsidRDefault="00D806E3" w:rsidP="00FF41A6">
      <w:r>
        <w:separator/>
      </w:r>
    </w:p>
  </w:footnote>
  <w:footnote w:type="continuationSeparator" w:id="0">
    <w:p w:rsidR="00D806E3" w:rsidRDefault="00D806E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793" w:rsidRDefault="0002379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23793" w:rsidRPr="00426781" w:rsidRDefault="00023793" w:rsidP="00FF41A6">
    <w:pPr>
      <w:pStyle w:val="NoSpacing"/>
      <w:jc w:val="center"/>
      <w:rPr>
        <w:rFonts w:ascii="Tw Cen MT" w:hAnsi="Tw Cen MT"/>
      </w:rPr>
    </w:pPr>
  </w:p>
  <w:p w:rsidR="00023793" w:rsidRDefault="00023793" w:rsidP="00FF41A6">
    <w:pPr>
      <w:pStyle w:val="NoSpacing"/>
      <w:jc w:val="center"/>
      <w:rPr>
        <w:rFonts w:ascii="Tw Cen MT" w:hAnsi="Tw Cen MT"/>
      </w:rPr>
    </w:pPr>
  </w:p>
  <w:p w:rsidR="00023793" w:rsidRPr="00D104DB" w:rsidRDefault="00023793" w:rsidP="00FF41A6">
    <w:pPr>
      <w:pStyle w:val="NoSpacing"/>
      <w:jc w:val="center"/>
      <w:rPr>
        <w:sz w:val="16"/>
        <w:szCs w:val="16"/>
      </w:rPr>
    </w:pPr>
  </w:p>
  <w:p w:rsidR="00023793" w:rsidRDefault="0002379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23793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5540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806E3"/>
    <w:rsid w:val="00DC7E65"/>
    <w:rsid w:val="00DE3E17"/>
    <w:rsid w:val="00DF04C7"/>
    <w:rsid w:val="00DF231A"/>
    <w:rsid w:val="00E25639"/>
    <w:rsid w:val="00E31EF8"/>
    <w:rsid w:val="00E471C8"/>
    <w:rsid w:val="00EB2A23"/>
    <w:rsid w:val="00EE4ACF"/>
    <w:rsid w:val="00F45755"/>
    <w:rsid w:val="00F515B5"/>
    <w:rsid w:val="00F608CF"/>
    <w:rsid w:val="00F7627E"/>
    <w:rsid w:val="00FB18E1"/>
    <w:rsid w:val="00FF1EE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CE1ECB-A7CE-4F87-844F-04E787B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