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Portrait sociodémographique des répondants et de leurs parents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**Répondants**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8"/>
        <w:gridCol w:w="4618"/>
        <w:gridCol w:w="1536"/>
        <w:gridCol w:w="1536"/>
        <w:gridCol w:w="1536"/>
        <w:gridCol w:w="1181"/>
      </w:tblGrid>
      <w:tr>
        <w:trPr>
          <w:trHeight w:val="732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Caractéristiques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721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268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453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 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Répondants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 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  (359)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 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  (227)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  (362)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 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  (226)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Lieu_de_residence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Ailleurs au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  (395)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  (147)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   (247)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Motreal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  (326)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 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  (205)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lieu_de_naissance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Canada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 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Provinde de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   (662)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  (241)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  (421)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  (128)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(218)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 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  (87)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  (224)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 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  (174)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À la maison TPL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 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 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PTL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 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 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mais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 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 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 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sans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et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 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PTL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 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études PTL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  (108)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  (97)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 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 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 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  (402)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 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  (332)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utilisation_medias_sociaux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Usage_MS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(660)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(431)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ou 2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(197)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(170)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à 5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(383)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 (232)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comptes et plus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Nbr_compte_MS_regulier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(161)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de 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activités_médias_sociaux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Suivre_activité_amis_et_famille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(358)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Communiquer_amis_et_famille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(193)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(528)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(192)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(336)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Partager_propre_matériel_avec_proches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(178)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(285)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 (168)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Partager_propre_matériel_publiquement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(549)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(189)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 (360)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Suivre_actualités_sur_RSM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(373)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(155)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(219)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(234)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Prendre_connaissance_programmes_gouv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(620)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 (391)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Rechercher_information_generale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61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(156)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Rechercher_info_importante_personnelle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(596)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(381)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(717)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(450)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(720)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(453)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Quête_informatins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(254)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 (151)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(242)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(139)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Votre_soeur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Votre_frere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(119)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(195)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Vos_amis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 (340)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(222)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A_l_ecole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(203)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Vos_colleges_de_travail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(259)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(158)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Les_medias_traditionnels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(146)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Les_medias_numeriques_Q1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(291)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(179)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 (281)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(130)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Siruation_civile_parents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body135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 deux sont defunts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Toujours ensemble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(378)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(228)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 des deux est defunt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 sans activité professionnelle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(245)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(144)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activité profes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(15)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(6)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(9)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Mean; %   (n)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Design-based KruskalWallis test; Pearson's X^2: Rao &amp; Scott adjustment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2025-03-09T22:58:03Z</dcterms:modified>
  <cp:category/>
</cp:coreProperties>
</file>