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Portrait sociodémographique des répondants et de leurs parents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**Répondants**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8"/>
        <w:gridCol w:w="4618"/>
        <w:gridCol w:w="1536"/>
        <w:gridCol w:w="1536"/>
        <w:gridCol w:w="1536"/>
        <w:gridCol w:w="1181"/>
      </w:tblGrid>
      <w:tr>
        <w:trPr>
          <w:trHeight w:val="732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Caractéristiques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721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268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453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 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Répondants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 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  (359)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 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  (227)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  (362)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 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  (226)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Lieu_de_residence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Ailleurs au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  (395)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  (147)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   (247)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Motreal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  (326)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 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  (205)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lieu_de_naissance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Canada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 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Provinde de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   (662)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  (241)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  (421)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  (128)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(218)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 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  (87)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  (224)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 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  (174)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À la maison TPL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 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 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PTL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 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 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mais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 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 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 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sans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et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 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PTL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 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études PTL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  (108)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  (97)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 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 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 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  (402)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 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  (332)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utilisation_medias_sociaux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Usage_MS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(660)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(431)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ou 2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(197)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(170)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à 5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(383)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 (232)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comptes et plus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Nbr_compte_MS_regulier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(161)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de 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activités_médias_sociaux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Suivre_activité_amis_et_famille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(358)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Communiquer_amis_et_famille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(193)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(528)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(192)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(336)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Partager_propre_matériel_avec_proches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(178)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(285)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 (168)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Partager_propre_matériel_publiquement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(549)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(189)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 (360)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Suivre_actualités_sur_RSM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(373)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(155)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(219)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(234)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Prendre_connaissance_programmes_gouv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(620)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 (391)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Rechercher_information_generale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61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(156)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Rechercher_info_importante_personnelle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(596)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(381)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(717)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(450)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(720)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(453)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Quête_informatins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(254)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 (151)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(242)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(139)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Votre_soeur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Votre_frere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(119)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(195)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Vos_amis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 (340)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(222)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A_l_ecole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(203)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Vos_colleges_de_travail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(259)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(158)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Les_medias_traditionnels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(146)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Les_medias_numeriques_Q1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(291)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(179)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 (281)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(130)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Siruation_civile_parents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body135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 deux sont defunts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Toujours ensemble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(378)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(228)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 des deux est defunt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 sans activité professionnelle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(245)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(144)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activité profes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(15)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(6)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(9)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Mean; %   (n)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Design-based KruskalWallis test; Pearson's X^2: Rao &amp; Scott adjustment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2025-03-09T05:20:45Z</dcterms:modified>
  <cp:category/>
</cp:coreProperties>
</file>