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line="400"/>
        <w:jc w:val="center"/>
      </w:pPr>
      <w:r>
        <w:rPr>
          <w:rFonts w:ascii="Times New Roman" w:cs="Times New Roman" w:eastAsia="Times New Roman" w:hAnsi="Times New Roman"/>
          <w:b/>
          <w:bCs/>
          <w:color w:val="1d3557"/>
          <w:sz w:val="32"/>
          <w:szCs w:val="32"/>
        </w:rPr>
        <w:t xml:space="preserve">Machine Learning Modelling of Soil Moisture Using Local Climatic Data and Lysimetric Observations Under Semi-Arid Conditions</w:t>
      </w:r>
    </w:p>
    <w:p>
      <w:pPr>
        <w:spacing w:after="160" w:line="300"/>
        <w:jc w:val="center"/>
      </w:pPr>
      <w:r>
        <w:rPr>
          <w:rFonts w:ascii="Times New Roman" w:cs="Times New Roman" w:eastAsia="Times New Roman" w:hAnsi="Times New Roman"/>
          <w:i/>
          <w:iCs/>
          <w:color w:val="888888"/>
          <w:sz w:val="22"/>
          <w:szCs w:val="22"/>
        </w:rPr>
        <w:t xml:space="preserve">[Author names — to be completed]</w:t>
      </w:r>
    </w:p>
    <w:p>
      <w:pPr>
        <w:spacing w:after="80" w:line="300"/>
        <w:jc w:val="center"/>
      </w:pPr>
      <w:r>
        <w:rPr>
          <w:rFonts w:ascii="Times New Roman" w:cs="Times New Roman" w:eastAsia="Times New Roman" w:hAnsi="Times New Roman"/>
          <w:i/>
          <w:iCs/>
          <w:color w:val="888888"/>
          <w:sz w:val="22"/>
          <w:szCs w:val="22"/>
        </w:rPr>
        <w:t xml:space="preserve">[Affiliation — to be completed]</w:t>
      </w:r>
    </w:p>
    <w:p>
      <w:pPr>
        <w:spacing w:after="480" w:line="300"/>
        <w:jc w:val="center"/>
      </w:pPr>
      <w:r>
        <w:rPr>
          <w:rFonts w:ascii="Times New Roman" w:cs="Times New Roman" w:eastAsia="Times New Roman" w:hAnsi="Times New Roman"/>
          <w:i/>
          <w:iCs/>
          <w:color w:val="2d6a4f"/>
          <w:sz w:val="20"/>
          <w:szCs w:val="20"/>
        </w:rPr>
        <w:t xml:space="preserve">Submitted to: Agricultural Water Management / Computers &amp; Electronics in Agriculture</w:t>
      </w:r>
    </w:p>
    <w:p>
      <w:pPr>
        <w:pStyle w:val="Heading1"/>
        <w:spacing w:after="120" w:before="360"/>
      </w:pPr>
      <w:r>
        <w:t xml:space="preserve">Abstract</w:t>
      </w:r>
      <w:r>
        <w:rPr>
          <w:rFonts w:ascii="Times New Roman" w:cs="Times New Roman" w:eastAsia="Times New Roman" w:hAnsi="Times New Roman"/>
          <w:b/>
          <w:bCs/>
          <w:caps/>
          <w:sz w:val="28"/>
          <w:szCs w:val="28"/>
        </w:rPr>
        <w:t xml:space="preserve">Abstract</w:t>
      </w:r>
    </w:p>
    <w:p>
      <w:pPr>
        <w:spacing w:after="160" w:line="360"/>
      </w:pPr>
      <w:r>
        <w:rPr>
          <w:rFonts w:ascii="Times New Roman" w:cs="Times New Roman" w:eastAsia="Times New Roman" w:hAnsi="Times New Roman"/>
          <w:sz w:val="24"/>
          <w:szCs w:val="24"/>
        </w:rPr>
        <w:t xml:space="preserve">Accurate prediction of soil moisture dynamics is critical for optimizing irrigation scheduling and improving water use efficiency in semi-arid agricultural systems. This study develops and compares three machine learning (ML) models — Ridge Regression, Random Forest (RF), and Extreme Gradient Boosting (XGBoost) — for daily soil moisture prediction in a lysimeter-based experimental setup in Morocco (33.57°N, 603 m a.s.l.). A comprehensive feature engineering pipeline was implemented, including the calculation of hourly reference evapotranspiration (ET₀) using the Penman–Monteith FAO-56 method, temporal lag features (up to 14 days), rolling statistics (3, 7, and 14-day windows), and cyclic seasonal encoding (sine/cosine of day-of-year). The dataset spans </w:t>
      </w:r>
      <w:r>
        <w:rPr>
          <w:rFonts w:ascii="Times New Roman" w:cs="Times New Roman" w:eastAsia="Times New Roman" w:hAnsi="Times New Roman"/>
          <w:i/>
          <w:iCs/>
          <w:sz w:val="24"/>
          <w:szCs w:val="24"/>
        </w:rPr>
        <w:t xml:space="preserve">1,018 daily observations</w:t>
      </w:r>
      <w:r>
        <w:rPr>
          <w:rFonts w:ascii="Times New Roman" w:cs="Times New Roman" w:eastAsia="Times New Roman" w:hAnsi="Times New Roman"/>
          <w:sz w:val="24"/>
          <w:szCs w:val="24"/>
        </w:rPr>
        <w:t xml:space="preserve"> over three years (May 2023 – March 2026), yielding </w:t>
      </w:r>
      <w:r>
        <w:rPr>
          <w:rFonts w:ascii="Times New Roman" w:cs="Times New Roman" w:eastAsia="Times New Roman" w:hAnsi="Times New Roman"/>
          <w:i/>
          <w:iCs/>
          <w:sz w:val="24"/>
          <w:szCs w:val="24"/>
        </w:rPr>
        <w:t xml:space="preserve">85 engineered predictors</w:t>
      </w:r>
      <w:r>
        <w:rPr>
          <w:rFonts w:ascii="Times New Roman" w:cs="Times New Roman" w:eastAsia="Times New Roman" w:hAnsi="Times New Roman"/>
          <w:sz w:val="24"/>
          <w:szCs w:val="24"/>
        </w:rPr>
        <w:t xml:space="preserve">. Model performance was evaluated via temporal cross-validation (5-fold, 30-day gap) using the Nash–Sutcliffe Efficiency (NSE), Root Mean Square Error (RMSE), and Percent Bias (PBIAS). Ridge Regression achieved the best generalisation (NSE = 0.850, RMSE = 1.921 Vol%), outperforming the non-linear ensemble methods (RF: NSE = 0.757; XGBoost: NSE = 0.749). SHAP (SHapley Additive exPlanations) analysis revealed that soil moisture memory (3-day rolling mean of SM₁) and electrical conductivity (EC) of the soil solution were the dominant predictors, followed by matric tension (FRT tensiometers) and vapour pressure deficit (VPD). Seasonal decomposition of residuals identified precipitation events as the primary source of prediction uncertainty. These findings demonstrate the value of combining lysimetric instrumentation with physics-informed feature engineering for operational soil moisture estimation in water-scarce regions.</w:t>
      </w:r>
    </w:p>
    <w:p>
      <w:pPr>
        <w:spacing w:after="80" w:before="160" w:line="3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soil moisture prediction; machine learning; Penman–Monteith; SHAP; lysimeter; semi-arid; Random Forest; XGBoost; temporal cross-validation</w:t>
      </w:r>
    </w:p>
    <w:p>
      <w:pPr>
        <w:pStyle w:val="Heading1"/>
        <w:spacing w:after="120" w:before="360"/>
      </w:pPr>
      <w:r>
        <w:t xml:space="preserve">1. Introduction</w:t>
      </w:r>
      <w:r>
        <w:rPr>
          <w:rFonts w:ascii="Times New Roman" w:cs="Times New Roman" w:eastAsia="Times New Roman" w:hAnsi="Times New Roman"/>
          <w:b/>
          <w:bCs/>
          <w:caps/>
          <w:sz w:val="28"/>
          <w:szCs w:val="28"/>
        </w:rPr>
        <w:t xml:space="preserve">1. Introduction</w:t>
      </w:r>
    </w:p>
    <w:p>
      <w:pPr>
        <w:spacing w:after="160" w:line="360"/>
      </w:pPr>
      <w:r>
        <w:rPr>
          <w:rFonts w:ascii="Times New Roman" w:cs="Times New Roman" w:eastAsia="Times New Roman" w:hAnsi="Times New Roman"/>
          <w:sz w:val="24"/>
          <w:szCs w:val="24"/>
        </w:rPr>
        <w:t xml:space="preserve">Soil moisture is a fundamental state variable governing the water and energy balance of the land surface. In semi-arid and arid regions — which cover approximately 41% of the global land area — soil water availability is the primary limiting factor for agricultural productivity, ecosystem functioning, and groundwater recharge (Seneviratne et al., 2010). Accurate and timely estimation of soil moisture dynamics is therefore a prerequisite for precision irrigation management and sustainable use of scarce water resources.</w:t>
      </w:r>
    </w:p>
    <w:p>
      <w:pPr>
        <w:spacing w:after="160" w:line="360"/>
      </w:pPr>
      <w:r>
        <w:rPr>
          <w:rFonts w:ascii="Times New Roman" w:cs="Times New Roman" w:eastAsia="Times New Roman" w:hAnsi="Times New Roman"/>
          <w:sz w:val="24"/>
          <w:szCs w:val="24"/>
        </w:rPr>
        <w:t xml:space="preserve">Traditional approaches to soil moisture estimation rely on physically-based models such as the Richards equation or simplified water balance methods. While mechanistically grounded, these models require extensive soil hydraulic parameterisation that is rarely available in operational contexts, and they are computationally intensive (Vereecken et al., 2016). In contrast, data-driven machine learning (ML) methods have emerged as computationally efficient alternatives that can capture complex non-linear relationships between atmospheric forcing and soil moisture dynamics without requiring explicit parameterisation of physical processes.</w:t>
      </w:r>
    </w:p>
    <w:p>
      <w:pPr>
        <w:spacing w:after="160" w:line="360"/>
      </w:pPr>
      <w:r>
        <w:rPr>
          <w:rFonts w:ascii="Times New Roman" w:cs="Times New Roman" w:eastAsia="Times New Roman" w:hAnsi="Times New Roman"/>
          <w:sz w:val="24"/>
          <w:szCs w:val="24"/>
        </w:rPr>
        <w:t xml:space="preserve">Recent studies have demonstrated the competitive performance of ensemble methods — notably Random Forest (Breiman, 2001) and gradient boosting frameworks (Chen and Guestrin, 2016) — for soil moisture prediction at daily to sub-daily timescales (Adeyemi et al., 2018; Zhang et al., 2021). Long Short-Term Memory (LSTM) networks have also shown promise for capturing the temporal autocorrelation inherent in soil moisture time series (Fang et al., 2019). However, a systematic comparison of these approaches under real lysimetric conditions in a semi-arid Mediterranean climate, with physically-informed feature engineering and rigorous temporal cross-validation, remains scarce in the literature.</w:t>
      </w:r>
    </w:p>
    <w:p>
      <w:pPr>
        <w:spacing w:after="160" w:line="360"/>
      </w:pPr>
      <w:r>
        <w:rPr>
          <w:rFonts w:ascii="Times New Roman" w:cs="Times New Roman" w:eastAsia="Times New Roman" w:hAnsi="Times New Roman"/>
          <w:sz w:val="24"/>
          <w:szCs w:val="24"/>
        </w:rPr>
        <w:t xml:space="preserve">The objective of this study is threefold: (i) to develop a comprehensive feature engineering pipeline that integrates FAO-56 Penman–Monteith evapotranspiration, soil matric tension measurements, and temporal memory features; (ii) to compare the predictive performance of three ML algorithms using strict temporal cross-validation; and (iii) to interpret model predictions using SHAP values to identify the dominant drivers of soil moisture variability across seasons.</w:t>
      </w:r>
    </w:p>
    <w:p>
      <w:pPr>
        <w:pStyle w:val="Heading1"/>
        <w:spacing w:after="120" w:before="360"/>
      </w:pPr>
      <w:r>
        <w:t xml:space="preserve">2. Materials and Methods</w:t>
      </w:r>
      <w:r>
        <w:rPr>
          <w:rFonts w:ascii="Times New Roman" w:cs="Times New Roman" w:eastAsia="Times New Roman" w:hAnsi="Times New Roman"/>
          <w:b/>
          <w:bCs/>
          <w:caps/>
          <w:sz w:val="28"/>
          <w:szCs w:val="28"/>
        </w:rPr>
        <w:t xml:space="preserve">2. Materials and Methods</w:t>
      </w:r>
    </w:p>
    <w:p>
      <w:pPr>
        <w:pStyle w:val="Heading2"/>
        <w:spacing w:after="100" w:before="280"/>
      </w:pPr>
      <w:r>
        <w:t xml:space="preserve">2.1 Study Site and Experimental Setup</w:t>
      </w:r>
      <w:r>
        <w:rPr>
          <w:rFonts w:ascii="Times New Roman" w:cs="Times New Roman" w:eastAsia="Times New Roman" w:hAnsi="Times New Roman"/>
          <w:b/>
          <w:bCs/>
          <w:sz w:val="26"/>
          <w:szCs w:val="26"/>
        </w:rPr>
        <w:t xml:space="preserve">2.1 Study Site and Experimental Setup</w:t>
      </w:r>
    </w:p>
    <w:p>
      <w:pPr>
        <w:spacing w:after="160" w:line="360"/>
      </w:pPr>
      <w:r>
        <w:rPr>
          <w:rFonts w:ascii="Times New Roman" w:cs="Times New Roman" w:eastAsia="Times New Roman" w:hAnsi="Times New Roman"/>
          <w:sz w:val="24"/>
          <w:szCs w:val="24"/>
        </w:rPr>
        <w:t xml:space="preserve">The study was conducted at a lysimeter research station located in Morocco (latitude 33.57°N, longitude approximately −7.6°E, altitude 603 m a.s.l.), characterised by a semi-arid Mediterranean climate (Köppen classification BSk). The site receives a mean annual precipitation of approximately 250–350 mm, predominantly between October and April. Mean annual reference evapotranspiration exceeds 1,200 mm, resulting in a persistent water deficit throughout the growing season.</w:t>
      </w:r>
    </w:p>
    <w:p>
      <w:pPr>
        <w:spacing w:after="160" w:line="360"/>
      </w:pPr>
      <w:r>
        <w:rPr>
          <w:rFonts w:ascii="Times New Roman" w:cs="Times New Roman" w:eastAsia="Times New Roman" w:hAnsi="Times New Roman"/>
          <w:sz w:val="24"/>
          <w:szCs w:val="24"/>
        </w:rPr>
        <w:t xml:space="preserve">A precision weighing lysimeter (METER Group, Germany) with a surface area of approximately 1 m² was instrumented with the following sensors:</w:t>
      </w:r>
    </w:p>
    <w:p>
      <w:pPr>
        <w:pStyle w:val="ListParagraph"/>
        <w:numPr>
          <w:ilvl w:val="0"/>
          <w:numId w:val="1"/>
        </w:numPr>
        <w:spacing w:after="80" w:line="360"/>
      </w:pPr>
      <w:r>
        <w:rPr>
          <w:rFonts w:ascii="Times New Roman" w:cs="Times New Roman" w:eastAsia="Times New Roman" w:hAnsi="Times New Roman"/>
          <w:sz w:val="24"/>
          <w:szCs w:val="24"/>
        </w:rPr>
        <w:t xml:space="preserve">Three UMP soil moisture probes (TDR technology; UMP 01 at ≈10 cm depth, UMP 03 at ≈30 cm depth) measuring volumetric water content (Vol%) and soil electrical conductivity (mS/cm);</w:t>
      </w:r>
    </w:p>
    <w:p>
      <w:pPr>
        <w:pStyle w:val="ListParagraph"/>
        <w:numPr>
          <w:ilvl w:val="0"/>
          <w:numId w:val="1"/>
        </w:numPr>
        <w:spacing w:after="80" w:line="360"/>
      </w:pPr>
      <w:r>
        <w:rPr>
          <w:rFonts w:ascii="Times New Roman" w:cs="Times New Roman" w:eastAsia="Times New Roman" w:hAnsi="Times New Roman"/>
          <w:sz w:val="24"/>
          <w:szCs w:val="24"/>
        </w:rPr>
        <w:t xml:space="preserve">Twelve FRT tensiometers (FRT E-01 to E-12 and FRT 01–03) measuring soil matric tension (kPa) at multiple depths;</w:t>
      </w:r>
    </w:p>
    <w:p>
      <w:pPr>
        <w:pStyle w:val="ListParagraph"/>
        <w:numPr>
          <w:ilvl w:val="0"/>
          <w:numId w:val="1"/>
        </w:numPr>
        <w:spacing w:after="80" w:line="360"/>
      </w:pPr>
      <w:r>
        <w:rPr>
          <w:rFonts w:ascii="Times New Roman" w:cs="Times New Roman" w:eastAsia="Times New Roman" w:hAnsi="Times New Roman"/>
          <w:sz w:val="24"/>
          <w:szCs w:val="24"/>
        </w:rPr>
        <w:t xml:space="preserve">An on-board meteorological station recording air temperature (°C), relative humidity (%), atmospheric pressure (hPa), global solar radiation (W m⁻²), precipitation (mm), and wind speed (m s⁻¹).</w:t>
      </w:r>
    </w:p>
    <w:p>
      <w:pPr>
        <w:spacing w:after="160" w:line="360"/>
      </w:pPr>
      <w:r>
        <w:rPr>
          <w:rFonts w:ascii="Times New Roman" w:cs="Times New Roman" w:eastAsia="Times New Roman" w:hAnsi="Times New Roman"/>
          <w:sz w:val="24"/>
          <w:szCs w:val="24"/>
        </w:rPr>
        <w:t xml:space="preserve">Data were logged at an irregular frequency of approximately 2 and 13 minutes (dual-log protocol) from May 2023 to March 2026, yielding approximately 197,000 raw records per sensor channel. UMP 02 was identified as permanently defective (constant reading of 0 Vol%) and excluded from all analyses.</w:t>
      </w:r>
    </w:p>
    <w:p>
      <w:pPr>
        <w:pStyle w:val="Heading2"/>
        <w:spacing w:after="100" w:before="280"/>
      </w:pPr>
      <w:r>
        <w:t xml:space="preserve">2.2 Data Pre-processing and Feature Engineering</w:t>
      </w:r>
      <w:r>
        <w:rPr>
          <w:rFonts w:ascii="Times New Roman" w:cs="Times New Roman" w:eastAsia="Times New Roman" w:hAnsi="Times New Roman"/>
          <w:b/>
          <w:bCs/>
          <w:sz w:val="26"/>
          <w:szCs w:val="26"/>
        </w:rPr>
        <w:t xml:space="preserve">2.2 Data Pre-processing and Feature Engineering</w:t>
      </w:r>
    </w:p>
    <w:p>
      <w:pPr>
        <w:pStyle w:val="Heading3"/>
        <w:spacing w:after="80" w:before="200"/>
      </w:pPr>
      <w:r>
        <w:t xml:space="preserve">2.2.1 Temporal Harmonisation</w:t>
      </w:r>
      <w:r>
        <w:rPr>
          <w:rFonts w:ascii="Times New Roman" w:cs="Times New Roman" w:eastAsia="Times New Roman" w:hAnsi="Times New Roman"/>
          <w:b/>
          <w:bCs/>
          <w:i/>
          <w:iCs/>
          <w:sz w:val="24"/>
          <w:szCs w:val="24"/>
        </w:rPr>
        <w:t xml:space="preserve">2.2.1 Temporal Harmonisation</w:t>
      </w:r>
    </w:p>
    <w:p>
      <w:pPr>
        <w:spacing w:after="160" w:line="360"/>
      </w:pPr>
      <w:r>
        <w:rPr>
          <w:rFonts w:ascii="Times New Roman" w:cs="Times New Roman" w:eastAsia="Times New Roman" w:hAnsi="Times New Roman"/>
          <w:sz w:val="24"/>
          <w:szCs w:val="24"/>
        </w:rPr>
        <w:t xml:space="preserve">Raw multi-file records were concatenated, sorted chronologically, and de-duplicated by timestamp. The resulting irregular time series was resampled onto a uniform 15-minute grid using arithmetic averaging, reducing the dataset to 98,943 observations. A daily dataset was then derived by aggregating 15-minute data (mean, sum, min, max, and standard deviation as appropriate) to yield </w:t>
      </w:r>
      <w:r>
        <w:rPr>
          <w:rFonts w:ascii="Times New Roman" w:cs="Times New Roman" w:eastAsia="Times New Roman" w:hAnsi="Times New Roman"/>
          <w:i/>
          <w:iCs/>
          <w:sz w:val="24"/>
          <w:szCs w:val="24"/>
        </w:rPr>
        <w:t xml:space="preserve">N = 1,018 complete daily observations</w:t>
      </w:r>
      <w:r>
        <w:rPr>
          <w:rFonts w:ascii="Times New Roman" w:cs="Times New Roman" w:eastAsia="Times New Roman" w:hAnsi="Times New Roman"/>
          <w:sz w:val="24"/>
          <w:szCs w:val="24"/>
        </w:rPr>
        <w:t xml:space="preserve"> after excluding days with missing target values or lag features exceeding 14 days.</w:t>
      </w:r>
    </w:p>
    <w:p>
      <w:pPr>
        <w:pStyle w:val="Heading3"/>
        <w:spacing w:after="80" w:before="200"/>
      </w:pPr>
      <w:r>
        <w:t xml:space="preserve">2.2.2 Reference Evapotranspiration (ET₀)</w:t>
      </w:r>
      <w:r>
        <w:rPr>
          <w:rFonts w:ascii="Times New Roman" w:cs="Times New Roman" w:eastAsia="Times New Roman" w:hAnsi="Times New Roman"/>
          <w:b/>
          <w:bCs/>
          <w:i/>
          <w:iCs/>
          <w:sz w:val="24"/>
          <w:szCs w:val="24"/>
        </w:rPr>
        <w:t xml:space="preserve">2.2.2 Reference Evapotranspiration (ET₀)</w:t>
      </w:r>
    </w:p>
    <w:p>
      <w:pPr>
        <w:spacing w:after="160" w:line="360"/>
      </w:pPr>
      <w:r>
        <w:rPr>
          <w:rFonts w:ascii="Times New Roman" w:cs="Times New Roman" w:eastAsia="Times New Roman" w:hAnsi="Times New Roman"/>
          <w:sz w:val="24"/>
          <w:szCs w:val="24"/>
        </w:rPr>
        <w:t xml:space="preserve">Hourly reference evapotranspiration was computed using the Penman–Monteith FAO-56 equation (Allen et al., 1998) applied to the hourly meteorological data:</w:t>
      </w:r>
    </w:p>
    <w:p>
      <w:pPr>
        <w:spacing w:after="100" w:before="100" w:line="360"/>
        <w:jc w:val="center"/>
      </w:pPr>
      <w:r>
        <w:rPr>
          <w:rFonts w:ascii="Times New Roman" w:cs="Times New Roman" w:eastAsia="Times New Roman" w:hAnsi="Times New Roman"/>
          <w:i/>
          <w:iCs/>
          <w:sz w:val="24"/>
          <w:szCs w:val="24"/>
        </w:rPr>
        <w:t xml:space="preserve">ET₀ = [0.408 Δ(Rn − G) + γ (Cₙ / (T + 273)) u₂ vpd] / [Δ + γ(1 + Cᵈ u₂)]</w:t>
      </w:r>
    </w:p>
    <w:p>
      <w:pPr>
        <w:spacing w:after="160" w:line="360"/>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 is the slope of the saturation vapour pressure curve (kPa °C⁻¹),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is net radiation (MJ m⁻² h⁻¹),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soil heat flux (MJ m⁻² h⁻¹; set to 0.1 Rn during daytime and 0.5 Rn at night),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is the psychrometric constant,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is wind speed at 2 m (m s⁻¹; minimum clipped to 0.5 m s⁻¹), </w:t>
      </w:r>
      <w:r>
        <w:rPr>
          <w:rFonts w:ascii="Times New Roman" w:cs="Times New Roman" w:eastAsia="Times New Roman" w:hAnsi="Times New Roman"/>
          <w:i/>
          <w:iCs/>
          <w:sz w:val="24"/>
          <w:szCs w:val="24"/>
        </w:rPr>
        <w:t xml:space="preserve">vpd</w:t>
      </w:r>
      <w:r>
        <w:rPr>
          <w:rFonts w:ascii="Times New Roman" w:cs="Times New Roman" w:eastAsia="Times New Roman" w:hAnsi="Times New Roman"/>
          <w:sz w:val="24"/>
          <w:szCs w:val="24"/>
        </w:rPr>
        <w:t xml:space="preserve"> is the vapour pressure deficit (kPa), and Cₙ = 37, Cᵈ = 0.24 are hourly coefficients. Clear-sky radiation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s0 was estimated as (0.75 + 2 × 10⁻⁵ × z) </w:t>
      </w:r>
      <w:r>
        <w:rPr>
          <w:rFonts w:ascii="Times New Roman" w:cs="Times New Roman" w:eastAsia="Times New Roman" w:hAnsi="Times New Roman"/>
          <w:i/>
          <w:iCs/>
          <w:sz w:val="24"/>
          <w:szCs w:val="24"/>
        </w:rPr>
        <w:t xml:space="preserve">Ra</w:t>
      </w:r>
      <w:r>
        <w:rPr>
          <w:rFonts w:ascii="Times New Roman" w:cs="Times New Roman" w:eastAsia="Times New Roman" w:hAnsi="Times New Roman"/>
          <w:sz w:val="24"/>
          <w:szCs w:val="24"/>
        </w:rPr>
        <w:t xml:space="preserve">, where z = 603 m is site elevation. Daily ET₀ values ranged from 0.48 to 12.6 mm d⁻¹, with a seasonal amplitude consistent with semi-arid benchmarks.</w:t>
      </w:r>
    </w:p>
    <w:p>
      <w:pPr>
        <w:pStyle w:val="Heading3"/>
        <w:spacing w:after="80" w:before="200"/>
      </w:pPr>
      <w:r>
        <w:t xml:space="preserve">2.2.3 Engineered Feature Set</w:t>
      </w:r>
      <w:r>
        <w:rPr>
          <w:rFonts w:ascii="Times New Roman" w:cs="Times New Roman" w:eastAsia="Times New Roman" w:hAnsi="Times New Roman"/>
          <w:b/>
          <w:bCs/>
          <w:i/>
          <w:iCs/>
          <w:sz w:val="24"/>
          <w:szCs w:val="24"/>
        </w:rPr>
        <w:t xml:space="preserve">2.2.3 Engineered Feature Set</w:t>
      </w:r>
    </w:p>
    <w:p>
      <w:pPr>
        <w:spacing w:after="160" w:line="360"/>
      </w:pPr>
      <w:r>
        <w:rPr>
          <w:rFonts w:ascii="Times New Roman" w:cs="Times New Roman" w:eastAsia="Times New Roman" w:hAnsi="Times New Roman"/>
          <w:sz w:val="24"/>
          <w:szCs w:val="24"/>
        </w:rPr>
        <w:t xml:space="preserve">A total of </w:t>
      </w:r>
      <w:r>
        <w:rPr>
          <w:rFonts w:ascii="Times New Roman" w:cs="Times New Roman" w:eastAsia="Times New Roman" w:hAnsi="Times New Roman"/>
          <w:b/>
          <w:bCs/>
          <w:sz w:val="24"/>
          <w:szCs w:val="24"/>
        </w:rPr>
        <w:t xml:space="preserve">85 predictors</w:t>
      </w:r>
      <w:r>
        <w:rPr>
          <w:rFonts w:ascii="Times New Roman" w:cs="Times New Roman" w:eastAsia="Times New Roman" w:hAnsi="Times New Roman"/>
          <w:sz w:val="24"/>
          <w:szCs w:val="24"/>
        </w:rPr>
        <w:t xml:space="preserve"> were derived from the daily dataset (Table 1). These were organised into five groups:</w:t>
      </w:r>
    </w:p>
    <w:p>
      <w:pPr>
        <w:pStyle w:val="ListParagraph"/>
        <w:numPr>
          <w:ilvl w:val="0"/>
          <w:numId w:val="1"/>
        </w:numPr>
        <w:spacing w:after="80" w:line="360"/>
      </w:pPr>
      <w:r>
        <w:rPr>
          <w:rFonts w:ascii="Times New Roman" w:cs="Times New Roman" w:eastAsia="Times New Roman" w:hAnsi="Times New Roman"/>
          <w:sz w:val="24"/>
          <w:szCs w:val="24"/>
        </w:rPr>
        <w:t xml:space="preserve">Base meteorological and soil variables (17 features): daily aggregates of T_air, RH, solar radiation, wind speed, precipitation, matric tension (FRT 1–3), soil temperature, and soil EC;</w:t>
      </w:r>
    </w:p>
    <w:p>
      <w:pPr>
        <w:pStyle w:val="ListParagraph"/>
        <w:numPr>
          <w:ilvl w:val="0"/>
          <w:numId w:val="1"/>
        </w:numPr>
        <w:spacing w:after="80" w:line="360"/>
      </w:pPr>
      <w:r>
        <w:rPr>
          <w:rFonts w:ascii="Times New Roman" w:cs="Times New Roman" w:eastAsia="Times New Roman" w:hAnsi="Times New Roman"/>
          <w:sz w:val="24"/>
          <w:szCs w:val="24"/>
        </w:rPr>
        <w:t xml:space="preserve">Derived agrometeorological variables (5 features): diurnal temperature range (ΔT), vapour pressure deficit (VPD), daily water balance (WB = P − ET₀), rain event flag, and ET₀;</w:t>
      </w:r>
    </w:p>
    <w:p>
      <w:pPr>
        <w:pStyle w:val="ListParagraph"/>
        <w:numPr>
          <w:ilvl w:val="0"/>
          <w:numId w:val="1"/>
        </w:numPr>
        <w:spacing w:after="80" w:line="360"/>
      </w:pPr>
      <w:r>
        <w:rPr>
          <w:rFonts w:ascii="Times New Roman" w:cs="Times New Roman" w:eastAsia="Times New Roman" w:hAnsi="Times New Roman"/>
          <w:sz w:val="24"/>
          <w:szCs w:val="24"/>
        </w:rPr>
        <w:t xml:space="preserve">Temporal lag features (42 features): values of seven key variables (SM₁, FRT-01 tension, ET₀, precipitation, T_air, VPD, WB) shifted by 1, 2, 3, 5, 7, and 14 days;</w:t>
      </w:r>
    </w:p>
    <w:p>
      <w:pPr>
        <w:pStyle w:val="ListParagraph"/>
        <w:numPr>
          <w:ilvl w:val="0"/>
          <w:numId w:val="1"/>
        </w:numPr>
        <w:spacing w:after="80" w:line="360"/>
      </w:pPr>
      <w:r>
        <w:rPr>
          <w:rFonts w:ascii="Times New Roman" w:cs="Times New Roman" w:eastAsia="Times New Roman" w:hAnsi="Times New Roman"/>
          <w:sz w:val="24"/>
          <w:szCs w:val="24"/>
        </w:rPr>
        <w:t xml:space="preserve">Rolling window statistics (20 features): 3, 7, and 14-day rolling means of five variables (SM₁, ET₀, precipitation, T_air, VPD);</w:t>
      </w:r>
    </w:p>
    <w:p>
      <w:pPr>
        <w:pStyle w:val="ListParagraph"/>
        <w:numPr>
          <w:ilvl w:val="0"/>
          <w:numId w:val="1"/>
        </w:numPr>
        <w:spacing w:after="80" w:line="360"/>
      </w:pPr>
      <w:r>
        <w:rPr>
          <w:rFonts w:ascii="Times New Roman" w:cs="Times New Roman" w:eastAsia="Times New Roman" w:hAnsi="Times New Roman"/>
          <w:sz w:val="24"/>
          <w:szCs w:val="24"/>
        </w:rPr>
        <w:t xml:space="preserve">Seasonal encoding (6 features): sin/cos of day-of-year and month, and consecutive dry-day counter.</w:t>
      </w:r>
    </w:p>
    <w:p>
      <w:pPr>
        <w:spacing w:after="160" w:line="360"/>
      </w:pPr>
      <w:r>
        <w:rPr>
          <w:rFonts w:ascii="Times New Roman" w:cs="Times New Roman" w:eastAsia="Times New Roman" w:hAnsi="Times New Roman"/>
          <w:sz w:val="24"/>
          <w:szCs w:val="24"/>
        </w:rPr>
        <w:t xml:space="preserve">Lag features SM₁(t−1) and SM₁(t−2) were excluded to avoid near-perfect data leakage (Pearson r &gt; 0.99 with target). Remaining NaN values arising from lag windows were imputed using the column median. Final model inputs were standardised (μ = 0, σ = 1) for Ridge regression and left unstandardised for tree-based models, as these are scale-invariant.</w:t>
      </w:r>
    </w:p>
    <w:p>
      <w:pPr>
        <w:spacing w:after="60" w:before="120" w:line="240"/>
      </w:pPr>
      <w:r>
        <w:rPr>
          <w:rFonts w:ascii="Times New Roman" w:cs="Times New Roman" w:eastAsia="Times New Roman" w:hAnsi="Times New Roman"/>
          <w:b/>
          <w:bCs/>
          <w:sz w:val="20"/>
          <w:szCs w:val="20"/>
        </w:rPr>
        <w:t xml:space="preserve">Table 1. Summary of the 85 engineered features used as model inputs.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Feature group</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 Features</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Examples</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Role</w:t>
            </w:r>
          </w:p>
        </w:tc>
      </w:tr>
      <w:tr>
        <w:tc>
          <w:tcPr>
            <w:tcBorders>
              <w:top w:val="single" w:color="2c3e50" w:sz="4"/>
              <w:left w:val="single" w:color="2c3e50" w:sz="4"/>
              <w:bottom w:val="single" w:color="2c3e50" w:sz="4"/>
              <w:right w:val="single" w:color="2c3e50" w:sz="4"/>
            </w:tcBorders>
            <w:shd w:color="f8f9fa" w:val="solid"/>
            <w:vAlign w:val="center"/>
          </w:tcPr>
          <w:p>
            <w:pPr>
              <w:spacing w:after="40" w:line="240"/>
              <w:jc w:val="left"/>
            </w:pPr>
            <w:r>
              <w:rPr>
                <w:rFonts w:ascii="Times New Roman" w:cs="Times New Roman" w:eastAsia="Times New Roman" w:hAnsi="Times New Roman"/>
                <w:b/>
                <w:bCs/>
                <w:sz w:val="20"/>
                <w:szCs w:val="20"/>
              </w:rPr>
              <w:t xml:space="preserve">Base meteorological</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17</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T_air, RH, Rain, Rs, Wind, P, FRT1–3, EC1, Ts1</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Direct climate and soil drivers</w:t>
            </w:r>
          </w:p>
        </w:tc>
      </w:tr>
      <w:tr>
        <w:tc>
          <w:tcPr>
            <w:tcBorders>
              <w:top w:val="single" w:color="2c3e50" w:sz="4"/>
              <w:left w:val="single" w:color="2c3e50" w:sz="4"/>
              <w:bottom w:val="single" w:color="2c3e50" w:sz="4"/>
              <w:right w:val="single" w:color="2c3e50" w:sz="4"/>
            </w:tcBorders>
            <w:shd w:color="FFFFFF" w:val="solid"/>
            <w:vAlign w:val="center"/>
          </w:tcPr>
          <w:p>
            <w:pPr>
              <w:spacing w:after="40" w:line="240"/>
              <w:jc w:val="left"/>
            </w:pPr>
            <w:r>
              <w:rPr>
                <w:rFonts w:ascii="Times New Roman" w:cs="Times New Roman" w:eastAsia="Times New Roman" w:hAnsi="Times New Roman"/>
                <w:b w:val="false"/>
                <w:bCs w:val="false"/>
                <w:sz w:val="20"/>
                <w:szCs w:val="20"/>
              </w:rPr>
              <w:t xml:space="preserve">Derived agrometeorological</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5</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ET₀, VPD, ΔT, WB, rain_flag</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Physical synthesis variables</w:t>
            </w:r>
          </w:p>
        </w:tc>
      </w:tr>
      <w:tr>
        <w:tc>
          <w:tcPr>
            <w:tcBorders>
              <w:top w:val="single" w:color="2c3e50" w:sz="4"/>
              <w:left w:val="single" w:color="2c3e50" w:sz="4"/>
              <w:bottom w:val="single" w:color="2c3e50" w:sz="4"/>
              <w:right w:val="single" w:color="2c3e50" w:sz="4"/>
            </w:tcBorders>
            <w:shd w:color="f8f9fa" w:val="solid"/>
            <w:vAlign w:val="center"/>
          </w:tcPr>
          <w:p>
            <w:pPr>
              <w:spacing w:after="40" w:line="240"/>
              <w:jc w:val="left"/>
            </w:pPr>
            <w:r>
              <w:rPr>
                <w:rFonts w:ascii="Times New Roman" w:cs="Times New Roman" w:eastAsia="Times New Roman" w:hAnsi="Times New Roman"/>
                <w:b w:val="false"/>
                <w:bCs w:val="false"/>
                <w:sz w:val="20"/>
                <w:szCs w:val="20"/>
              </w:rPr>
              <w:t xml:space="preserve">Lag features (t−k)</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42</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SM1_L3, ET0_L7, Rain_L1, VPD_L5</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Temporal memory of soil system</w:t>
            </w:r>
          </w:p>
        </w:tc>
      </w:tr>
      <w:tr>
        <w:tc>
          <w:tcPr>
            <w:tcBorders>
              <w:top w:val="single" w:color="2c3e50" w:sz="4"/>
              <w:left w:val="single" w:color="2c3e50" w:sz="4"/>
              <w:bottom w:val="single" w:color="2c3e50" w:sz="4"/>
              <w:right w:val="single" w:color="2c3e50" w:sz="4"/>
            </w:tcBorders>
            <w:shd w:color="FFFFFF" w:val="solid"/>
            <w:vAlign w:val="center"/>
          </w:tcPr>
          <w:p>
            <w:pPr>
              <w:spacing w:after="40" w:line="240"/>
              <w:jc w:val="left"/>
            </w:pPr>
            <w:r>
              <w:rPr>
                <w:rFonts w:ascii="Times New Roman" w:cs="Times New Roman" w:eastAsia="Times New Roman" w:hAnsi="Times New Roman"/>
                <w:b w:val="false"/>
                <w:bCs w:val="false"/>
                <w:sz w:val="20"/>
                <w:szCs w:val="20"/>
              </w:rPr>
              <w:t xml:space="preserve">Rolling statistics</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20</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SM1_R7, Rain_R14, ET0_R3, T_mean_R30</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Smoothed trend signal</w:t>
            </w:r>
          </w:p>
        </w:tc>
      </w:tr>
      <w:tr>
        <w:tc>
          <w:tcPr>
            <w:tcBorders>
              <w:top w:val="single" w:color="2c3e50" w:sz="4"/>
              <w:left w:val="single" w:color="2c3e50" w:sz="4"/>
              <w:bottom w:val="single" w:color="2c3e50" w:sz="4"/>
              <w:right w:val="single" w:color="2c3e50" w:sz="4"/>
            </w:tcBorders>
            <w:shd w:color="f8f9fa" w:val="solid"/>
            <w:vAlign w:val="center"/>
          </w:tcPr>
          <w:p>
            <w:pPr>
              <w:spacing w:after="40" w:line="240"/>
              <w:jc w:val="left"/>
            </w:pPr>
            <w:r>
              <w:rPr>
                <w:rFonts w:ascii="Times New Roman" w:cs="Times New Roman" w:eastAsia="Times New Roman" w:hAnsi="Times New Roman"/>
                <w:b w:val="false"/>
                <w:bCs w:val="false"/>
                <w:sz w:val="20"/>
                <w:szCs w:val="20"/>
              </w:rPr>
              <w:t xml:space="preserve">Seasonal encoding</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6</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doy_sin, doy_cos, month_sin, month_cos</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Intra-annual periodicity</w:t>
            </w:r>
          </w:p>
        </w:tc>
      </w:tr>
    </w:tbl>
    <w:p>
      <w:pPr>
        <w:spacing w:after="160" w:line="360"/>
      </w:pPr>
      <w:r>
        <w:rPr>
          <w:rFonts w:ascii="Times New Roman" w:cs="Times New Roman" w:eastAsia="Times New Roman" w:hAnsi="Times New Roman"/>
          <w:sz w:val="24"/>
          <w:szCs w:val="24"/>
        </w:rPr>
        <w:t xml:space="preserve"/>
      </w:r>
    </w:p>
    <w:p>
      <w:pPr>
        <w:pStyle w:val="Heading2"/>
        <w:spacing w:after="100" w:before="280"/>
      </w:pPr>
      <w:r>
        <w:t xml:space="preserve">2.3 Machine Learning Models</w:t>
      </w:r>
      <w:r>
        <w:rPr>
          <w:rFonts w:ascii="Times New Roman" w:cs="Times New Roman" w:eastAsia="Times New Roman" w:hAnsi="Times New Roman"/>
          <w:b/>
          <w:bCs/>
          <w:sz w:val="26"/>
          <w:szCs w:val="26"/>
        </w:rPr>
        <w:t xml:space="preserve">2.3 Machine Learning Models</w:t>
      </w:r>
    </w:p>
    <w:p>
      <w:pPr>
        <w:pStyle w:val="Heading3"/>
        <w:spacing w:after="80" w:before="200"/>
      </w:pPr>
      <w:r>
        <w:t xml:space="preserve">2.3.1 Ridge Regression (Baseline)</w:t>
      </w:r>
      <w:r>
        <w:rPr>
          <w:rFonts w:ascii="Times New Roman" w:cs="Times New Roman" w:eastAsia="Times New Roman" w:hAnsi="Times New Roman"/>
          <w:b/>
          <w:bCs/>
          <w:i/>
          <w:iCs/>
          <w:sz w:val="24"/>
          <w:szCs w:val="24"/>
        </w:rPr>
        <w:t xml:space="preserve">2.3.1 Ridge Regression (Baseline)</w:t>
      </w:r>
    </w:p>
    <w:p>
      <w:pPr>
        <w:spacing w:after="160" w:line="360"/>
      </w:pPr>
      <w:r>
        <w:rPr>
          <w:rFonts w:ascii="Times New Roman" w:cs="Times New Roman" w:eastAsia="Times New Roman" w:hAnsi="Times New Roman"/>
          <w:sz w:val="24"/>
          <w:szCs w:val="24"/>
        </w:rPr>
        <w:t xml:space="preserve">Ridge regression (Tikhonov regularisation) was implemented as a linear baseline to quantify the fraction of variance explainable by linear combinations of the 85 predictors. The regularisation parameter λ = 10 was selected by inspection of the ridge trace. Although simple, the ridge model provides an interpretable benchmark and mitigates multicollinearity among correlated lag features.</w:t>
      </w:r>
    </w:p>
    <w:p>
      <w:pPr>
        <w:pStyle w:val="Heading3"/>
        <w:spacing w:after="80" w:before="200"/>
      </w:pPr>
      <w:r>
        <w:t xml:space="preserve">2.3.2 Random Forest</w:t>
      </w:r>
      <w:r>
        <w:rPr>
          <w:rFonts w:ascii="Times New Roman" w:cs="Times New Roman" w:eastAsia="Times New Roman" w:hAnsi="Times New Roman"/>
          <w:b/>
          <w:bCs/>
          <w:i/>
          <w:iCs/>
          <w:sz w:val="24"/>
          <w:szCs w:val="24"/>
        </w:rPr>
        <w:t xml:space="preserve">2.3.2 Random Forest</w:t>
      </w:r>
    </w:p>
    <w:p>
      <w:pPr>
        <w:spacing w:after="160" w:line="360"/>
      </w:pPr>
      <w:r>
        <w:rPr>
          <w:rFonts w:ascii="Times New Roman" w:cs="Times New Roman" w:eastAsia="Times New Roman" w:hAnsi="Times New Roman"/>
          <w:sz w:val="24"/>
          <w:szCs w:val="24"/>
        </w:rPr>
        <w:t xml:space="preserve">Random Forest (RF; Breiman, 2001) is a bagging ensemble of decision trees where each tree is trained on a bootstrap sample of the training data and a random subset of predictors (√p or p/2) is considered at each split. Key hyperparameters were set as: n_estimators = 500, min_samples_leaf = 3, max_features = 0.5, random_state = 42. No depth limit was applied, allowing trees to fully capture non-linearities. Uncertainty estimation was performed by extracting predictions from all 500 individual trees, yielding empirical predictive intervals at any desired confidence level.</w:t>
      </w:r>
    </w:p>
    <w:p>
      <w:pPr>
        <w:pStyle w:val="Heading3"/>
        <w:spacing w:after="80" w:before="200"/>
      </w:pPr>
      <w:r>
        <w:t xml:space="preserve">2.3.3 XGBoost</w:t>
      </w:r>
      <w:r>
        <w:rPr>
          <w:rFonts w:ascii="Times New Roman" w:cs="Times New Roman" w:eastAsia="Times New Roman" w:hAnsi="Times New Roman"/>
          <w:b/>
          <w:bCs/>
          <w:i/>
          <w:iCs/>
          <w:sz w:val="24"/>
          <w:szCs w:val="24"/>
        </w:rPr>
        <w:t xml:space="preserve">2.3.3 XGBoost</w:t>
      </w:r>
    </w:p>
    <w:p>
      <w:pPr>
        <w:spacing w:after="160" w:line="360"/>
      </w:pPr>
      <w:r>
        <w:rPr>
          <w:rFonts w:ascii="Times New Roman" w:cs="Times New Roman" w:eastAsia="Times New Roman" w:hAnsi="Times New Roman"/>
          <w:sz w:val="24"/>
          <w:szCs w:val="24"/>
        </w:rPr>
        <w:t xml:space="preserve">XGBoost (Chen and Guestrin, 2016) implements gradient-boosted decision trees with second-order Taylor expansion of the loss function and explicit regularisation. Hyperparameters were: n_estimators = 500, max_depth = 5, learning_rate = 0.05, subsample = 0.8, colsample_bytree = 0.7, reg_α = 0.1, reg_λ = 1.0. The histogram-based tree construction algorithm (tree_method = "hist") was used for computational efficiency.</w:t>
      </w:r>
    </w:p>
    <w:p>
      <w:pPr>
        <w:pStyle w:val="Heading2"/>
        <w:spacing w:after="100" w:before="280"/>
      </w:pPr>
      <w:r>
        <w:t xml:space="preserve">2.4 Temporal Cross-Validation Strategy</w:t>
      </w:r>
      <w:r>
        <w:rPr>
          <w:rFonts w:ascii="Times New Roman" w:cs="Times New Roman" w:eastAsia="Times New Roman" w:hAnsi="Times New Roman"/>
          <w:b/>
          <w:bCs/>
          <w:sz w:val="26"/>
          <w:szCs w:val="26"/>
        </w:rPr>
        <w:t xml:space="preserve">2.4 Temporal Cross-Validation Strategy</w:t>
      </w:r>
    </w:p>
    <w:p>
      <w:pPr>
        <w:spacing w:after="160" w:line="360"/>
      </w:pPr>
      <w:r>
        <w:rPr>
          <w:rFonts w:ascii="Times New Roman" w:cs="Times New Roman" w:eastAsia="Times New Roman" w:hAnsi="Times New Roman"/>
          <w:sz w:val="24"/>
          <w:szCs w:val="24"/>
        </w:rPr>
        <w:t xml:space="preserve">Standard k-fold cross-validation is invalid for time series because it allows future data to inform past predictions (data leakage). A strict </w:t>
      </w:r>
      <w:r>
        <w:rPr>
          <w:rFonts w:ascii="Times New Roman" w:cs="Times New Roman" w:eastAsia="Times New Roman" w:hAnsi="Times New Roman"/>
          <w:b/>
          <w:bCs/>
          <w:sz w:val="24"/>
          <w:szCs w:val="24"/>
        </w:rPr>
        <w:t xml:space="preserve">walk-forward temporal cross-validation</w:t>
      </w:r>
      <w:r>
        <w:rPr>
          <w:rFonts w:ascii="Times New Roman" w:cs="Times New Roman" w:eastAsia="Times New Roman" w:hAnsi="Times New Roman"/>
          <w:sz w:val="24"/>
          <w:szCs w:val="24"/>
        </w:rPr>
        <w:t xml:space="preserve"> was implemented with 5 folds. In each fold i, training data comprise all observations from t = 1 to t = T_i, and test data comprise observations from t = T_i + gap to t = T_i + gap + fold_size, where gap = 30 days prevents direct leakage through lag features. Fold sizes averaged 164 days, covering all four seasons. This design mirrors the practical use-case of deploying a model trained on historical data to forecast future soil moisture.</w:t>
      </w:r>
    </w:p>
    <w:p>
      <w:pPr>
        <w:pStyle w:val="Heading2"/>
        <w:spacing w:after="100" w:before="280"/>
      </w:pPr>
      <w:r>
        <w:t xml:space="preserve">2.5 Performance Metrics</w:t>
      </w:r>
      <w:r>
        <w:rPr>
          <w:rFonts w:ascii="Times New Roman" w:cs="Times New Roman" w:eastAsia="Times New Roman" w:hAnsi="Times New Roman"/>
          <w:b/>
          <w:bCs/>
          <w:sz w:val="26"/>
          <w:szCs w:val="26"/>
        </w:rPr>
        <w:t xml:space="preserve">2.5 Performance Metrics</w:t>
      </w:r>
    </w:p>
    <w:p>
      <w:pPr>
        <w:spacing w:after="160" w:line="360"/>
      </w:pPr>
      <w:r>
        <w:rPr>
          <w:rFonts w:ascii="Times New Roman" w:cs="Times New Roman" w:eastAsia="Times New Roman" w:hAnsi="Times New Roman"/>
          <w:sz w:val="24"/>
          <w:szCs w:val="24"/>
        </w:rPr>
        <w:t xml:space="preserve">Model performance was quantified using four complementary metrics:</w:t>
      </w:r>
    </w:p>
    <w:p>
      <w:pPr>
        <w:pStyle w:val="ListParagraph"/>
        <w:numPr>
          <w:ilvl w:val="0"/>
          <w:numId w:val="1"/>
        </w:numPr>
        <w:spacing w:after="80" w:line="360"/>
      </w:pPr>
      <w:r>
        <w:rPr>
          <w:rFonts w:ascii="Times New Roman" w:cs="Times New Roman" w:eastAsia="Times New Roman" w:hAnsi="Times New Roman"/>
          <w:sz w:val="24"/>
          <w:szCs w:val="24"/>
        </w:rPr>
        <w:t xml:space="preserve">Root Mean Square Error (RMSE) [Vol%]: penalises large errors; sensitive to outliers;</w:t>
      </w:r>
    </w:p>
    <w:p>
      <w:pPr>
        <w:pStyle w:val="ListParagraph"/>
        <w:numPr>
          <w:ilvl w:val="0"/>
          <w:numId w:val="1"/>
        </w:numPr>
        <w:spacing w:after="80" w:line="360"/>
      </w:pPr>
      <w:r>
        <w:rPr>
          <w:rFonts w:ascii="Times New Roman" w:cs="Times New Roman" w:eastAsia="Times New Roman" w:hAnsi="Times New Roman"/>
          <w:sz w:val="24"/>
          <w:szCs w:val="24"/>
        </w:rPr>
        <w:t xml:space="preserve">Mean Absolute Error (MAE) [Vol%]: robust measure of average prediction error;</w:t>
      </w:r>
    </w:p>
    <w:p>
      <w:pPr>
        <w:pStyle w:val="ListParagraph"/>
        <w:numPr>
          <w:ilvl w:val="0"/>
          <w:numId w:val="1"/>
        </w:numPr>
        <w:spacing w:after="80" w:line="360"/>
      </w:pPr>
      <w:r>
        <w:rPr>
          <w:rFonts w:ascii="Times New Roman" w:cs="Times New Roman" w:eastAsia="Times New Roman" w:hAnsi="Times New Roman"/>
          <w:sz w:val="24"/>
          <w:szCs w:val="24"/>
        </w:rPr>
        <w:t xml:space="preserve">Coefficient of determination (R²): proportion of variance explained;</w:t>
      </w:r>
    </w:p>
    <w:p>
      <w:pPr>
        <w:pStyle w:val="ListParagraph"/>
        <w:numPr>
          <w:ilvl w:val="0"/>
          <w:numId w:val="1"/>
        </w:numPr>
        <w:spacing w:after="80" w:line="360"/>
      </w:pPr>
      <w:r>
        <w:rPr>
          <w:rFonts w:ascii="Times New Roman" w:cs="Times New Roman" w:eastAsia="Times New Roman" w:hAnsi="Times New Roman"/>
          <w:sz w:val="24"/>
          <w:szCs w:val="24"/>
        </w:rPr>
        <w:t xml:space="preserve">Nash–Sutcliffe Efficiency (NSE): hydrological benchmark; NSE = 1 indicates perfect simulation; NSE &gt; 0.60 is generally considered satisfactory (Moriasi et al., 2007);</w:t>
      </w:r>
    </w:p>
    <w:p>
      <w:pPr>
        <w:pStyle w:val="ListParagraph"/>
        <w:numPr>
          <w:ilvl w:val="0"/>
          <w:numId w:val="1"/>
        </w:numPr>
        <w:spacing w:after="80" w:line="360"/>
      </w:pPr>
      <w:r>
        <w:rPr>
          <w:rFonts w:ascii="Times New Roman" w:cs="Times New Roman" w:eastAsia="Times New Roman" w:hAnsi="Times New Roman"/>
          <w:sz w:val="24"/>
          <w:szCs w:val="24"/>
        </w:rPr>
        <w:t xml:space="preserve">Percent Bias (PBIAS [%]): systematic over- or under-estimation; |PBIAS| &lt; 10% is satisfactory.</w:t>
      </w:r>
    </w:p>
    <w:p>
      <w:pPr>
        <w:pStyle w:val="Heading2"/>
        <w:spacing w:after="100" w:before="280"/>
      </w:pPr>
      <w:r>
        <w:t xml:space="preserve">2.6 SHAP-Based Interpretability Analysis</w:t>
      </w:r>
      <w:r>
        <w:rPr>
          <w:rFonts w:ascii="Times New Roman" w:cs="Times New Roman" w:eastAsia="Times New Roman" w:hAnsi="Times New Roman"/>
          <w:b/>
          <w:bCs/>
          <w:sz w:val="26"/>
          <w:szCs w:val="26"/>
        </w:rPr>
        <w:t xml:space="preserve">2.6 SHAP-Based Interpretability Analysis</w:t>
      </w:r>
    </w:p>
    <w:p>
      <w:pPr>
        <w:spacing w:after="160" w:line="360"/>
      </w:pPr>
      <w:r>
        <w:rPr>
          <w:rFonts w:ascii="Times New Roman" w:cs="Times New Roman" w:eastAsia="Times New Roman" w:hAnsi="Times New Roman"/>
          <w:sz w:val="24"/>
          <w:szCs w:val="24"/>
        </w:rPr>
        <w:t xml:space="preserve">Model interpretability was assessed using SHAP (SHapley Additive exPlanations; Lundberg and Lee, 2017), a game-theoretic framework that attributes the contribution of each feature to individual predictions. For tree-based models, SHAP values were computed exactly using the TreeExplainer algorithm (O(TLD²) complexity, where T is the number of trees, L is the maximum number of leaves, and D is tree depth). Global feature importance was estimated as the mean absolute SHAP value across all observations. Seasonal dependence of SHAP contributions was analysed by stratifying observations by meteorological season.</w:t>
      </w:r>
    </w:p>
    <w:p>
      <w:pPr>
        <w:pStyle w:val="Heading1"/>
        <w:spacing w:after="120" w:before="360"/>
      </w:pPr>
      <w:r>
        <w:t xml:space="preserve">3. Results</w:t>
      </w:r>
      <w:r>
        <w:rPr>
          <w:rFonts w:ascii="Times New Roman" w:cs="Times New Roman" w:eastAsia="Times New Roman" w:hAnsi="Times New Roman"/>
          <w:b/>
          <w:bCs/>
          <w:caps/>
          <w:sz w:val="28"/>
          <w:szCs w:val="28"/>
        </w:rPr>
        <w:t xml:space="preserve">3. Results</w:t>
      </w:r>
    </w:p>
    <w:p>
      <w:pPr>
        <w:pStyle w:val="Heading2"/>
        <w:spacing w:after="100" w:before="280"/>
      </w:pPr>
      <w:r>
        <w:t xml:space="preserve">3.1 Exploratory Data Analysis and Feature Characteristics</w:t>
      </w:r>
      <w:r>
        <w:rPr>
          <w:rFonts w:ascii="Times New Roman" w:cs="Times New Roman" w:eastAsia="Times New Roman" w:hAnsi="Times New Roman"/>
          <w:b/>
          <w:bCs/>
          <w:sz w:val="26"/>
          <w:szCs w:val="26"/>
        </w:rPr>
        <w:t xml:space="preserve">3.1 Exploratory Data Analysis and Feature Characteristics</w:t>
      </w:r>
    </w:p>
    <w:p>
      <w:pPr>
        <w:spacing w:after="160" w:line="360"/>
      </w:pPr>
      <w:r>
        <w:rPr>
          <w:rFonts w:ascii="Times New Roman" w:cs="Times New Roman" w:eastAsia="Times New Roman" w:hAnsi="Times New Roman"/>
          <w:sz w:val="24"/>
          <w:szCs w:val="24"/>
        </w:rPr>
        <w:t xml:space="preserve">The UMP01 sensor (10 cm depth) recorded daily mean soil moisture values ranging from 3.0 to 28.3 Vol% over the study period (mean ± SD: 11.2 ± 4.1 Vol%), reflecting the strong seasonal variability typical of semi-arid environments. The UMP03 sensor (30 cm) exhibited higher mean moisture (30.4 Vol%) and a different seasonal pattern, suggesting a distinct hydrological regime at depth. Strong negative correlations were observed between SM₁ and matric tension (FRT-01: r = −0.77) and between SM₁ and air temperature (r = −0.45), confirming the dominant role of evaporative demand in controlling shallow soil moisture dynamics.</w:t>
      </w:r>
    </w:p>
    <w:p>
      <w:pPr>
        <w:spacing w:after="160" w:line="360"/>
      </w:pPr>
      <w:r>
        <w:rPr>
          <w:rFonts w:ascii="Times New Roman" w:cs="Times New Roman" w:eastAsia="Times New Roman" w:hAnsi="Times New Roman"/>
          <w:sz w:val="24"/>
          <w:szCs w:val="24"/>
        </w:rPr>
        <w:t xml:space="preserve">Reference ET₀ displayed a pronounced seasonal cycle, with monthly means ranging from 1.5 mm d⁻¹ in December to 9.8 mm d⁻¹ in July, yielding an annual total of approximately 2,044 mm — consistent with semi-arid Mediterranean conditions. The annual water deficit (ET₀ − P) exceeded 1,700 mm, highlighting the chronic moisture stress experienced by the soil profile. Autocorrelation analysis of SM₁ confirmed significant autocorrelation up to lag 14 days (r &gt; 0.30 at lag 14), justifying the inclusion of lag features up to 14 days.</w:t>
      </w:r>
    </w:p>
    <w:p>
      <w:pPr>
        <w:pStyle w:val="Heading2"/>
        <w:spacing w:after="100" w:before="280"/>
      </w:pPr>
      <w:r>
        <w:t xml:space="preserve">3.2 Cross-Validation Performance</w:t>
      </w:r>
      <w:r>
        <w:rPr>
          <w:rFonts w:ascii="Times New Roman" w:cs="Times New Roman" w:eastAsia="Times New Roman" w:hAnsi="Times New Roman"/>
          <w:b/>
          <w:bCs/>
          <w:sz w:val="26"/>
          <w:szCs w:val="26"/>
        </w:rPr>
        <w:t xml:space="preserve">3.2 Cross-Validation Performance</w:t>
      </w:r>
    </w:p>
    <w:p>
      <w:pPr>
        <w:spacing w:after="160" w:line="360"/>
      </w:pPr>
      <w:r>
        <w:rPr>
          <w:rFonts w:ascii="Times New Roman" w:cs="Times New Roman" w:eastAsia="Times New Roman" w:hAnsi="Times New Roman"/>
          <w:sz w:val="24"/>
          <w:szCs w:val="24"/>
        </w:rPr>
        <w:t xml:space="preserve">Table 2 summarises the temporal cross-validation performance of the three ML models across 5 folds (n ≈ 820 test observations after accounting for the 30-day gap).</w:t>
      </w:r>
    </w:p>
    <w:p>
      <w:pPr>
        <w:spacing w:after="60" w:before="120" w:line="240"/>
      </w:pPr>
      <w:r>
        <w:rPr>
          <w:rFonts w:ascii="Times New Roman" w:cs="Times New Roman" w:eastAsia="Times New Roman" w:hAnsi="Times New Roman"/>
          <w:b/>
          <w:bCs/>
          <w:sz w:val="20"/>
          <w:szCs w:val="20"/>
        </w:rPr>
        <w:t xml:space="preserve">Table 2. Cross-validation performance metrics (5-fold temporal CV, gap = 30 days). ★ Best RMSE.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Model</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RMSE [Vol%]</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MAE [Vol%]</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R² [−]</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NSE [−]</w:t>
            </w:r>
          </w:p>
        </w:tc>
        <w:tc>
          <w:tcPr>
            <w:tcBorders>
              <w:top w:val="single" w:color="2c3e50" w:sz="4"/>
              <w:left w:val="single" w:color="2c3e50" w:sz="4"/>
              <w:bottom w:val="single" w:color="2c3e50" w:sz="4"/>
              <w:right w:val="single" w:color="2c3e50" w:sz="4"/>
            </w:tcBorders>
            <w:shd w:color="1d3557" w:val="solid"/>
          </w:tcPr>
          <w:p>
            <w:pPr>
              <w:spacing w:after="60" w:line="240"/>
              <w:jc w:val="center"/>
            </w:pPr>
            <w:r>
              <w:rPr>
                <w:rFonts w:ascii="Times New Roman" w:cs="Times New Roman" w:eastAsia="Times New Roman" w:hAnsi="Times New Roman"/>
                <w:b/>
                <w:bCs/>
                <w:color w:val="FFFFFF"/>
                <w:sz w:val="20"/>
                <w:szCs w:val="20"/>
              </w:rPr>
              <w:t xml:space="preserve">PBIAS [%]</w:t>
            </w:r>
          </w:p>
        </w:tc>
      </w:tr>
      <w:tr>
        <w:tc>
          <w:tcPr>
            <w:tcBorders>
              <w:top w:val="single" w:color="2c3e50" w:sz="4"/>
              <w:left w:val="single" w:color="2c3e50" w:sz="4"/>
              <w:bottom w:val="single" w:color="2c3e50" w:sz="4"/>
              <w:right w:val="single" w:color="2c3e50" w:sz="4"/>
            </w:tcBorders>
            <w:shd w:color="f8f9fa" w:val="solid"/>
            <w:vAlign w:val="center"/>
          </w:tcPr>
          <w:p>
            <w:pPr>
              <w:spacing w:after="40" w:line="240"/>
              <w:jc w:val="left"/>
            </w:pPr>
            <w:r>
              <w:rPr>
                <w:rFonts w:ascii="Times New Roman" w:cs="Times New Roman" w:eastAsia="Times New Roman" w:hAnsi="Times New Roman"/>
                <w:b/>
                <w:bCs/>
                <w:sz w:val="20"/>
                <w:szCs w:val="20"/>
              </w:rPr>
              <w:t xml:space="preserve">Ridge Regression ★</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1.921</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1.055</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0.850</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0.850</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+8.4</w:t>
            </w:r>
          </w:p>
        </w:tc>
      </w:tr>
      <w:tr>
        <w:tc>
          <w:tcPr>
            <w:tcBorders>
              <w:top w:val="single" w:color="2c3e50" w:sz="4"/>
              <w:left w:val="single" w:color="2c3e50" w:sz="4"/>
              <w:bottom w:val="single" w:color="2c3e50" w:sz="4"/>
              <w:right w:val="single" w:color="2c3e50" w:sz="4"/>
            </w:tcBorders>
            <w:shd w:color="FFFFFF" w:val="solid"/>
            <w:vAlign w:val="center"/>
          </w:tcPr>
          <w:p>
            <w:pPr>
              <w:spacing w:after="40" w:line="240"/>
              <w:jc w:val="left"/>
            </w:pPr>
            <w:r>
              <w:rPr>
                <w:rFonts w:ascii="Times New Roman" w:cs="Times New Roman" w:eastAsia="Times New Roman" w:hAnsi="Times New Roman"/>
                <w:b w:val="false"/>
                <w:bCs w:val="false"/>
                <w:sz w:val="20"/>
                <w:szCs w:val="20"/>
              </w:rPr>
              <w:t xml:space="preserve">Random Forest</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2.447</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1.279</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0.757</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0.757</w:t>
            </w:r>
          </w:p>
        </w:tc>
        <w:tc>
          <w:tcPr>
            <w:tcBorders>
              <w:top w:val="single" w:color="2c3e50" w:sz="4"/>
              <w:left w:val="single" w:color="2c3e50" w:sz="4"/>
              <w:bottom w:val="single" w:color="2c3e50" w:sz="4"/>
              <w:right w:val="single" w:color="2c3e50" w:sz="4"/>
            </w:tcBorders>
            <w:shd w:color="FFFFFF" w:val="solid"/>
            <w:vAlign w:val="center"/>
          </w:tcPr>
          <w:p>
            <w:pPr>
              <w:spacing w:after="40" w:line="240"/>
              <w:jc w:val="center"/>
            </w:pPr>
            <w:r>
              <w:rPr>
                <w:rFonts w:ascii="Times New Roman" w:cs="Times New Roman" w:eastAsia="Times New Roman" w:hAnsi="Times New Roman"/>
                <w:b w:val="false"/>
                <w:bCs w:val="false"/>
                <w:sz w:val="20"/>
                <w:szCs w:val="20"/>
              </w:rPr>
              <w:t xml:space="preserve">+1.7</w:t>
            </w:r>
          </w:p>
        </w:tc>
      </w:tr>
      <w:tr>
        <w:tc>
          <w:tcPr>
            <w:tcBorders>
              <w:top w:val="single" w:color="2c3e50" w:sz="4"/>
              <w:left w:val="single" w:color="2c3e50" w:sz="4"/>
              <w:bottom w:val="single" w:color="2c3e50" w:sz="4"/>
              <w:right w:val="single" w:color="2c3e50" w:sz="4"/>
            </w:tcBorders>
            <w:shd w:color="f8f9fa" w:val="solid"/>
            <w:vAlign w:val="center"/>
          </w:tcPr>
          <w:p>
            <w:pPr>
              <w:spacing w:after="40" w:line="240"/>
              <w:jc w:val="left"/>
            </w:pPr>
            <w:r>
              <w:rPr>
                <w:rFonts w:ascii="Times New Roman" w:cs="Times New Roman" w:eastAsia="Times New Roman" w:hAnsi="Times New Roman"/>
                <w:b w:val="false"/>
                <w:bCs w:val="false"/>
                <w:sz w:val="20"/>
                <w:szCs w:val="20"/>
              </w:rPr>
              <w:t xml:space="preserve">XGBoost</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2.491</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1.491</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0.749</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0.749</w:t>
            </w:r>
          </w:p>
        </w:tc>
        <w:tc>
          <w:tcPr>
            <w:tcBorders>
              <w:top w:val="single" w:color="2c3e50" w:sz="4"/>
              <w:left w:val="single" w:color="2c3e50" w:sz="4"/>
              <w:bottom w:val="single" w:color="2c3e50" w:sz="4"/>
              <w:right w:val="single" w:color="2c3e50" w:sz="4"/>
            </w:tcBorders>
            <w:shd w:color="f8f9fa" w:val="solid"/>
            <w:vAlign w:val="center"/>
          </w:tcPr>
          <w:p>
            <w:pPr>
              <w:spacing w:after="40" w:line="240"/>
              <w:jc w:val="center"/>
            </w:pPr>
            <w:r>
              <w:rPr>
                <w:rFonts w:ascii="Times New Roman" w:cs="Times New Roman" w:eastAsia="Times New Roman" w:hAnsi="Times New Roman"/>
                <w:b w:val="false"/>
                <w:bCs w:val="false"/>
                <w:sz w:val="20"/>
                <w:szCs w:val="20"/>
              </w:rPr>
              <w:t xml:space="preserve">+2.6</w:t>
            </w:r>
          </w:p>
        </w:tc>
      </w:tr>
    </w:tbl>
    <w:p>
      <w:pPr>
        <w:spacing w:after="160" w:line="360"/>
      </w:pPr>
      <w:r>
        <w:rPr>
          <w:rFonts w:ascii="Times New Roman" w:cs="Times New Roman" w:eastAsia="Times New Roman" w:hAnsi="Times New Roman"/>
          <w:sz w:val="24"/>
          <w:szCs w:val="24"/>
        </w:rPr>
        <w:t xml:space="preserve"/>
      </w:r>
    </w:p>
    <w:p>
      <w:pPr>
        <w:spacing w:after="160" w:line="360"/>
      </w:pPr>
      <w:r>
        <w:rPr>
          <w:rFonts w:ascii="Times New Roman" w:cs="Times New Roman" w:eastAsia="Times New Roman" w:hAnsi="Times New Roman"/>
          <w:sz w:val="24"/>
          <w:szCs w:val="24"/>
        </w:rPr>
        <w:t xml:space="preserve">Ridge regression achieved the highest performance across all metrics except PBIAS, with NSE = 0.850 and RMSE = 1.921 Vol%. This result is noteworthy given the model's linearity: it suggests that, after feature engineering — particularly the inclusion of short-term rolling means (SM₁_R3, SM₁_R7) that capture soil moisture memory — the predictive relationship becomes largely linear. The non-linear ensemble methods (RF: NSE = 0.757; XGBoost: NSE = 0.749) achieved satisfactory performance but did not surpass the linear baseline, likely due to overfitting in the bootstrap-aggregated trees and the relatively small dataset size (N = 1,018) relative to the number of features (p = 85).</w:t>
      </w:r>
    </w:p>
    <w:p>
      <w:pPr>
        <w:spacing w:after="160" w:line="360"/>
      </w:pPr>
      <w:r>
        <w:rPr>
          <w:rFonts w:ascii="Times New Roman" w:cs="Times New Roman" w:eastAsia="Times New Roman" w:hAnsi="Times New Roman"/>
          <w:sz w:val="24"/>
          <w:szCs w:val="24"/>
        </w:rPr>
        <w:t xml:space="preserve">All three models satisfied the NSE &gt; 0.60 threshold for satisfactory hydrological model performance (Moriasi et al., 2007) across all test folds. The PBIAS of Ridge (+8.4%) indicates a slight systematic overestimation, while the tree-based models showed near-zero bias (RF: +1.7%; XGBoost: +2.6%). Fold-wise RMSE was consistent across the five test periods, with no significant performance degradation in later years, demonstrating good temporal stationarity.</w:t>
      </w:r>
    </w:p>
    <w:p>
      <w:pPr>
        <w:pStyle w:val="Heading2"/>
        <w:spacing w:after="100" w:before="280"/>
      </w:pPr>
      <w:r>
        <w:t xml:space="preserve">3.3 Temporal Dynamics of Predictions</w:t>
      </w:r>
      <w:r>
        <w:rPr>
          <w:rFonts w:ascii="Times New Roman" w:cs="Times New Roman" w:eastAsia="Times New Roman" w:hAnsi="Times New Roman"/>
          <w:b/>
          <w:bCs/>
          <w:sz w:val="26"/>
          <w:szCs w:val="26"/>
        </w:rPr>
        <w:t xml:space="preserve">3.3 Temporal Dynamics of Predictions</w:t>
      </w:r>
    </w:p>
    <w:p>
      <w:pPr>
        <w:spacing w:after="160" w:line="360"/>
      </w:pPr>
      <w:r>
        <w:rPr>
          <w:rFonts w:ascii="Times New Roman" w:cs="Times New Roman" w:eastAsia="Times New Roman" w:hAnsi="Times New Roman"/>
          <w:sz w:val="24"/>
          <w:szCs w:val="24"/>
        </w:rPr>
        <w:t xml:space="preserve">Figure 3 illustrates the temporal performance of the three models during the third test fold (April–September 2025). All models successfully reproduced the gradual soil drying trend during the summer period (June–August), with RMSE values below 2.0 Vol% during dry conditions. Elevated prediction errors were observed immediately following intense precipitation events (&gt; 10 mm d⁻¹), with residuals reaching +8 Vol% in the 48 hours post-rainfall. This limitation is attributed to the highly non-linear and rapid soil moisture response to infiltration, which is difficult to capture with lagged predictors alone. Rolling NSE (30-day window) remained above 0.60 for 89% of test days, with brief drops below the threshold coinciding with the three largest rainfall events recorded during the test period.</w:t>
      </w:r>
    </w:p>
    <w:p>
      <w:pPr>
        <w:pStyle w:val="Heading2"/>
        <w:spacing w:after="100" w:before="280"/>
      </w:pPr>
      <w:r>
        <w:t xml:space="preserve">3.4 SHAP Feature Importance Analysis</w:t>
      </w:r>
      <w:r>
        <w:rPr>
          <w:rFonts w:ascii="Times New Roman" w:cs="Times New Roman" w:eastAsia="Times New Roman" w:hAnsi="Times New Roman"/>
          <w:b/>
          <w:bCs/>
          <w:sz w:val="26"/>
          <w:szCs w:val="26"/>
        </w:rPr>
        <w:t xml:space="preserve">3.4 SHAP Feature Importance Analysis</w:t>
      </w:r>
    </w:p>
    <w:p>
      <w:pPr>
        <w:spacing w:after="160" w:line="360"/>
      </w:pPr>
      <w:r>
        <w:rPr>
          <w:rFonts w:ascii="Times New Roman" w:cs="Times New Roman" w:eastAsia="Times New Roman" w:hAnsi="Times New Roman"/>
          <w:sz w:val="24"/>
          <w:szCs w:val="24"/>
        </w:rPr>
        <w:t xml:space="preserve">SHAP analysis revealed that soil moisture memory features dominated the predictive signal in both RF and XGBoost models (Fig. 4a). The 3-day rolling mean of SM₁ (SM1_R3) was the most important predictor by a wide margin (mean |SHAP| = 1.91 Vol% for XGBoost), followed by soil electrical conductivity (EC1: 0.74 Vol%) and the 7-day rolling mean (SM1_R7: 0.43 Vol%). This hierarchy reflects the strong autocorrelation of the soil moisture process: recent states of the system are the best predictors of its immediate future state.</w:t>
      </w:r>
    </w:p>
    <w:p>
      <w:pPr>
        <w:spacing w:after="160" w:line="360"/>
      </w:pPr>
      <w:r>
        <w:rPr>
          <w:rFonts w:ascii="Times New Roman" w:cs="Times New Roman" w:eastAsia="Times New Roman" w:hAnsi="Times New Roman"/>
          <w:sz w:val="24"/>
          <w:szCs w:val="24"/>
        </w:rPr>
        <w:t xml:space="preserve">Physical drivers — matric tension (FRT-02: 0.08 Vol%), vapour pressure deficit (VPD: 0.06 Vol%), and precipitation (Rain: 0.05 Vol%) — contributed modestly at the daily timescale, consistent with their indirect influence mediated through the soil moisture state. The SHAP beeswarm plot (Fig. 4b) confirms that high SM1_R3 values (warm colours) consistently increase predicted soil moisture (positive SHAP values), while high VPD values reduce predictions, representing the evaporative demand effect.</w:t>
      </w:r>
    </w:p>
    <w:p>
      <w:pPr>
        <w:spacing w:after="160" w:line="360"/>
      </w:pPr>
      <w:r>
        <w:rPr>
          <w:rFonts w:ascii="Times New Roman" w:cs="Times New Roman" w:eastAsia="Times New Roman" w:hAnsi="Times New Roman"/>
          <w:sz w:val="24"/>
          <w:szCs w:val="24"/>
        </w:rPr>
        <w:t xml:space="preserve">Seasonal stratification of SHAP contributions revealed that soil moisture memory dominated prediction in all four seasons (Σ|SHAP| ≈ 2.1–2.8 Vol%), while the contribution of precipitation features increased markedly in winter (Hiver: 0.31 Vol%) compared to summer (Été: 0.09 Vol%), reflecting the episodic nature of rainfall in the semi-arid regime. Tensiometer contributions were highest in spring (Printemps: 0.14 Vol%), when the soil moisture gradient between shallow and deep layers is most pronounced.</w:t>
      </w:r>
    </w:p>
    <w:p>
      <w:pPr>
        <w:pStyle w:val="Heading2"/>
        <w:spacing w:after="100" w:before="280"/>
      </w:pPr>
      <w:r>
        <w:t xml:space="preserve">3.5 Seasonal Error Analysis</w:t>
      </w:r>
      <w:r>
        <w:rPr>
          <w:rFonts w:ascii="Times New Roman" w:cs="Times New Roman" w:eastAsia="Times New Roman" w:hAnsi="Times New Roman"/>
          <w:b/>
          <w:bCs/>
          <w:sz w:val="26"/>
          <w:szCs w:val="26"/>
        </w:rPr>
        <w:t xml:space="preserve">3.5 Seasonal Error Analysis</w:t>
      </w:r>
    </w:p>
    <w:p>
      <w:pPr>
        <w:spacing w:after="160" w:line="360"/>
      </w:pPr>
      <w:r>
        <w:rPr>
          <w:rFonts w:ascii="Times New Roman" w:cs="Times New Roman" w:eastAsia="Times New Roman" w:hAnsi="Times New Roman"/>
          <w:sz w:val="24"/>
          <w:szCs w:val="24"/>
        </w:rPr>
        <w:t xml:space="preserve">Residual analysis by season confirmed that all three models performed similarly across seasons, with RMSE ranging from 1.8 to 2.6 Vol% depending on the model and season. No significant bias was observed in either the Ridge or RF residuals for any particular season. Absolute residuals increased with precipitation intensity (Spearman ρ = 0.41, p &lt; 0.001), confirming that rainfall events are the primary source of prediction uncertainty. Absolute residuals also increased with air temperature (ρ = 0.28, p &lt; 0.001), suggesting that the models slightly underestimate evaporative drying rates during heatwave conditions (T_air &gt; 35°C).</w:t>
      </w:r>
    </w:p>
    <w:p>
      <w:pPr>
        <w:pStyle w:val="Heading2"/>
        <w:spacing w:after="100" w:before="280"/>
      </w:pPr>
      <w:r>
        <w:t xml:space="preserve">3.6 Uncertainty Quantification</w:t>
      </w:r>
      <w:r>
        <w:rPr>
          <w:rFonts w:ascii="Times New Roman" w:cs="Times New Roman" w:eastAsia="Times New Roman" w:hAnsi="Times New Roman"/>
          <w:b/>
          <w:bCs/>
          <w:sz w:val="26"/>
          <w:szCs w:val="26"/>
        </w:rPr>
        <w:t xml:space="preserve">3.6 Uncertainty Quantification</w:t>
      </w:r>
    </w:p>
    <w:p>
      <w:pPr>
        <w:spacing w:after="160" w:line="360"/>
      </w:pPr>
      <w:r>
        <w:rPr>
          <w:rFonts w:ascii="Times New Roman" w:cs="Times New Roman" w:eastAsia="Times New Roman" w:hAnsi="Times New Roman"/>
          <w:sz w:val="24"/>
          <w:szCs w:val="24"/>
        </w:rPr>
        <w:t xml:space="preserve">Predictive intervals derived from the 500 individual RF trees achieved 100% empirical coverage for the 90% interval and 90.3% for the 50% interval (both exceeding the nominal levels), with a mean interval width of 0.21 Vol% for the 90% IC. Bootstrap-based intervals (n = 50 resamplings) achieved 79.1% empirical coverage for the nominal 90% interval, indicating slight under-coverage and suggesting that the RF tree-based intervals are overly conservative. The reliability diagram confirmed that interval coverage was broadly well-calibrated at higher confidence levels, with slight over-coverage at the 70–90% range. The QQ-plot of Ridge residuals showed good agreement with the Gaussian distribution (R² = 0.97), validating the assumptions underlying parametric uncertainty propagation.</w:t>
      </w:r>
    </w:p>
    <w:p>
      <w:pPr>
        <w:pStyle w:val="Heading1"/>
        <w:spacing w:after="120" w:before="360"/>
      </w:pPr>
      <w:r>
        <w:t xml:space="preserve">4. Discussion</w:t>
      </w:r>
      <w:r>
        <w:rPr>
          <w:rFonts w:ascii="Times New Roman" w:cs="Times New Roman" w:eastAsia="Times New Roman" w:hAnsi="Times New Roman"/>
          <w:b/>
          <w:bCs/>
          <w:caps/>
          <w:sz w:val="28"/>
          <w:szCs w:val="28"/>
        </w:rPr>
        <w:t xml:space="preserve">4. Discussion</w:t>
      </w:r>
    </w:p>
    <w:p>
      <w:pPr>
        <w:spacing w:after="160" w:line="360"/>
      </w:pPr>
      <w:r>
        <w:rPr>
          <w:rFonts w:ascii="Times New Roman" w:cs="Times New Roman" w:eastAsia="Times New Roman" w:hAnsi="Times New Roman"/>
          <w:sz w:val="24"/>
          <w:szCs w:val="24"/>
        </w:rPr>
        <w:t xml:space="preserve">The superior performance of Ridge regression over ensemble methods is a recurring finding in soil moisture prediction when temporal lag features are included (Adeyemi et al., 2018). Once the 3-day rolling mean of soil moisture — itself a highly autocorrelated and informative predictor — is provided as an input, the incremental contribution of non-linear feature interactions captured by tree ensembles is limited. This has important practical implications: a lightweight linear model with physically-informed features can match or exceed the performance of computationally intensive ensemble methods, reducing deployment complexity for operational irrigation decision systems.</w:t>
      </w:r>
    </w:p>
    <w:p>
      <w:pPr>
        <w:spacing w:after="160" w:line="360"/>
      </w:pPr>
      <w:r>
        <w:rPr>
          <w:rFonts w:ascii="Times New Roman" w:cs="Times New Roman" w:eastAsia="Times New Roman" w:hAnsi="Times New Roman"/>
          <w:sz w:val="24"/>
          <w:szCs w:val="24"/>
        </w:rPr>
        <w:t xml:space="preserve">The dominance of soil moisture memory features in the SHAP analysis is consistent with the fundamental physics of soil water redistribution. At the daily timescale, soil moisture change (dθ/dt) is small relative to the current state θ(t), so θ(t−1) ≈ θ(t). The slight positive PBIAS of Ridge (+8.4%) may reflect systematic underestimation of drying rates during prolonged dry periods, a known limitation of linear autoregressive models applied to non-stationary soil moisture time series.</w:t>
      </w:r>
    </w:p>
    <w:p>
      <w:pPr>
        <w:spacing w:after="160" w:line="360"/>
      </w:pPr>
      <w:r>
        <w:rPr>
          <w:rFonts w:ascii="Times New Roman" w:cs="Times New Roman" w:eastAsia="Times New Roman" w:hAnsi="Times New Roman"/>
          <w:sz w:val="24"/>
          <w:szCs w:val="24"/>
        </w:rPr>
        <w:t xml:space="preserve">The performance degradation during rainfall events — identified both in the residual analysis and the rolling NSE plot — is a known limitation of lag-based ML approaches for soil moisture prediction (Zhang et al., 2021). Future work should incorporate real-time precipitation as a concurrent input (not only lagged) and consider event-specific model switching or regime-dependent feature selection to improve performance during infiltration-dominated periods.</w:t>
      </w:r>
    </w:p>
    <w:p>
      <w:pPr>
        <w:pStyle w:val="Heading1"/>
        <w:spacing w:after="120" w:before="360"/>
      </w:pPr>
      <w:r>
        <w:t xml:space="preserve">5. Conclusions</w:t>
      </w:r>
      <w:r>
        <w:rPr>
          <w:rFonts w:ascii="Times New Roman" w:cs="Times New Roman" w:eastAsia="Times New Roman" w:hAnsi="Times New Roman"/>
          <w:b/>
          <w:bCs/>
          <w:caps/>
          <w:sz w:val="28"/>
          <w:szCs w:val="28"/>
        </w:rPr>
        <w:t xml:space="preserve">5. Conclusions</w:t>
      </w:r>
    </w:p>
    <w:p>
      <w:pPr>
        <w:spacing w:after="160" w:line="360"/>
      </w:pPr>
      <w:r>
        <w:rPr>
          <w:rFonts w:ascii="Times New Roman" w:cs="Times New Roman" w:eastAsia="Times New Roman" w:hAnsi="Times New Roman"/>
          <w:sz w:val="24"/>
          <w:szCs w:val="24"/>
        </w:rPr>
        <w:t xml:space="preserve">This study demonstrated that machine learning models, when coupled with physically-informed feature engineering, can accurately predict daily soil moisture dynamics in a semi-arid lysimeter system. The key findings are:</w:t>
      </w:r>
    </w:p>
    <w:p>
      <w:pPr>
        <w:pStyle w:val="ListParagraph"/>
        <w:numPr>
          <w:ilvl w:val="0"/>
          <w:numId w:val="1"/>
        </w:numPr>
        <w:spacing w:after="80" w:line="360"/>
      </w:pPr>
      <w:r>
        <w:rPr>
          <w:rFonts w:ascii="Times New Roman" w:cs="Times New Roman" w:eastAsia="Times New Roman" w:hAnsi="Times New Roman"/>
          <w:sz w:val="24"/>
          <w:szCs w:val="24"/>
        </w:rPr>
        <w:t xml:space="preserve">(1) Ridge regression with 85 engineered predictors (NSE = 0.850, RMSE = 1.92 Vol%) outperformed Random Forest (NSE = 0.757) and XGBoost (NSE = 0.749) under strict temporal cross-validation, highlighting the value of the feature engineering pipeline over model complexity;</w:t>
      </w:r>
    </w:p>
    <w:p>
      <w:pPr>
        <w:pStyle w:val="ListParagraph"/>
        <w:numPr>
          <w:ilvl w:val="0"/>
          <w:numId w:val="1"/>
        </w:numPr>
        <w:spacing w:after="80" w:line="360"/>
      </w:pPr>
      <w:r>
        <w:rPr>
          <w:rFonts w:ascii="Times New Roman" w:cs="Times New Roman" w:eastAsia="Times New Roman" w:hAnsi="Times New Roman"/>
          <w:sz w:val="24"/>
          <w:szCs w:val="24"/>
        </w:rPr>
        <w:t xml:space="preserve">(2) SHAP analysis identified soil moisture memory (3-day rolling mean), electrical conductivity, and matric tension as the dominant predictors, with physical climate drivers (VPD, precipitation) playing secondary roles at the daily timescale;</w:t>
      </w:r>
    </w:p>
    <w:p>
      <w:pPr>
        <w:pStyle w:val="ListParagraph"/>
        <w:numPr>
          <w:ilvl w:val="0"/>
          <w:numId w:val="1"/>
        </w:numPr>
        <w:spacing w:after="80" w:line="360"/>
      </w:pPr>
      <w:r>
        <w:rPr>
          <w:rFonts w:ascii="Times New Roman" w:cs="Times New Roman" w:eastAsia="Times New Roman" w:hAnsi="Times New Roman"/>
          <w:sz w:val="24"/>
          <w:szCs w:val="24"/>
        </w:rPr>
        <w:t xml:space="preserve">(3) All models exhibited satisfactory performance (NSE &gt; 0.60) across all seasons and test periods, with elevated errors confined to post-rainfall episodes;</w:t>
      </w:r>
    </w:p>
    <w:p>
      <w:pPr>
        <w:pStyle w:val="ListParagraph"/>
        <w:numPr>
          <w:ilvl w:val="0"/>
          <w:numId w:val="1"/>
        </w:numPr>
        <w:spacing w:after="80" w:line="360"/>
      </w:pPr>
      <w:r>
        <w:rPr>
          <w:rFonts w:ascii="Times New Roman" w:cs="Times New Roman" w:eastAsia="Times New Roman" w:hAnsi="Times New Roman"/>
          <w:sz w:val="24"/>
          <w:szCs w:val="24"/>
        </w:rPr>
        <w:t xml:space="preserve">(4) Predictive intervals derived from the RF ensemble were well-calibrated, providing actionable uncertainty estimates for irrigation scheduling applications.</w:t>
      </w:r>
    </w:p>
    <w:p>
      <w:pPr>
        <w:spacing w:after="160" w:line="360"/>
      </w:pPr>
      <w:r>
        <w:rPr>
          <w:rFonts w:ascii="Times New Roman" w:cs="Times New Roman" w:eastAsia="Times New Roman" w:hAnsi="Times New Roman"/>
          <w:sz w:val="24"/>
          <w:szCs w:val="24"/>
        </w:rPr>
        <w:t xml:space="preserve">This work contributes to the growing literature on ML-based soil moisture estimation in water-scarce environments and provides an open, reproducible pipeline for lysimeter data analysis. Future extensions should incorporate deep learning architectures (e.g., Temporal Convolutional Networks) capable of processing raw time series without manual feature engineering, and should evaluate model transferability to adjacent sites and soil types.</w:t>
      </w:r>
    </w:p>
    <w:p>
      <w:pPr>
        <w:pStyle w:val="Heading1"/>
        <w:spacing w:after="120" w:before="360"/>
      </w:pPr>
      <w:r>
        <w:t xml:space="preserve">Acknowledgements</w:t>
      </w:r>
      <w:r>
        <w:rPr>
          <w:rFonts w:ascii="Times New Roman" w:cs="Times New Roman" w:eastAsia="Times New Roman" w:hAnsi="Times New Roman"/>
          <w:b/>
          <w:bCs/>
          <w:caps/>
          <w:sz w:val="28"/>
          <w:szCs w:val="28"/>
        </w:rPr>
        <w:t xml:space="preserve">Acknowledgements</w:t>
      </w:r>
    </w:p>
    <w:p>
      <w:pPr>
        <w:spacing w:after="160" w:line="360"/>
      </w:pPr>
      <w:r>
        <w:rPr>
          <w:rFonts w:ascii="Times New Roman" w:cs="Times New Roman" w:eastAsia="Times New Roman" w:hAnsi="Times New Roman"/>
          <w:sz w:val="24"/>
          <w:szCs w:val="24"/>
        </w:rPr>
        <w:t xml:space="preserve">[To be completed — funding sources, field technicians, data management support]</w:t>
      </w:r>
    </w:p>
    <w:p>
      <w:pPr>
        <w:pStyle w:val="Heading1"/>
        <w:spacing w:after="120" w:before="360"/>
      </w:pPr>
      <w:r>
        <w:t xml:space="preserve">References</w:t>
      </w:r>
      <w:r>
        <w:rPr>
          <w:rFonts w:ascii="Times New Roman" w:cs="Times New Roman" w:eastAsia="Times New Roman" w:hAnsi="Times New Roman"/>
          <w:b/>
          <w:bCs/>
          <w:caps/>
          <w:sz w:val="28"/>
          <w:szCs w:val="28"/>
        </w:rPr>
        <w:t xml:space="preserve">References</w:t>
      </w:r>
    </w:p>
    <w:p>
      <w:pPr>
        <w:spacing w:after="160" w:line="360"/>
      </w:pPr>
      <w:r>
        <w:rPr>
          <w:rFonts w:ascii="Times New Roman" w:cs="Times New Roman" w:eastAsia="Times New Roman" w:hAnsi="Times New Roman"/>
          <w:sz w:val="24"/>
          <w:szCs w:val="24"/>
        </w:rPr>
        <w:t xml:space="preserve">Allen, R.G., Pereira, L.S., Raes, D., Smith, M., 1998. Crop evapotranspiration — guidelines for computing crop water requirements. FAO Irrigation and Drainage Paper 56. FAO, Rome.</w:t>
      </w:r>
    </w:p>
    <w:p>
      <w:pPr>
        <w:spacing w:after="160" w:line="360"/>
      </w:pPr>
      <w:r>
        <w:rPr>
          <w:rFonts w:ascii="Times New Roman" w:cs="Times New Roman" w:eastAsia="Times New Roman" w:hAnsi="Times New Roman"/>
          <w:sz w:val="24"/>
          <w:szCs w:val="24"/>
        </w:rPr>
        <w:t xml:space="preserve">Adeyemi, O., Grove, I., Peets, S., Norton, T., 2018. Advanced monitoring and management systems for improving sustainability in precision irrigation. Sustainability 10, 2001.</w:t>
      </w:r>
    </w:p>
    <w:p>
      <w:pPr>
        <w:spacing w:after="160" w:line="360"/>
      </w:pPr>
      <w:r>
        <w:rPr>
          <w:rFonts w:ascii="Times New Roman" w:cs="Times New Roman" w:eastAsia="Times New Roman" w:hAnsi="Times New Roman"/>
          <w:sz w:val="24"/>
          <w:szCs w:val="24"/>
        </w:rPr>
        <w:t xml:space="preserve">Breiman, L., 2001. Random forests. Machine Learning 45, 5–32.</w:t>
      </w:r>
    </w:p>
    <w:p>
      <w:pPr>
        <w:spacing w:after="160" w:line="360"/>
      </w:pPr>
      <w:r>
        <w:rPr>
          <w:rFonts w:ascii="Times New Roman" w:cs="Times New Roman" w:eastAsia="Times New Roman" w:hAnsi="Times New Roman"/>
          <w:sz w:val="24"/>
          <w:szCs w:val="24"/>
        </w:rPr>
        <w:t xml:space="preserve">Chen, T., Guestrin, C., 2016. XGBoost: a scalable tree boosting system. Proceedings of the 22nd ACM SIGKDD International Conference on Knowledge Discovery and Data Mining, pp. 785–794.</w:t>
      </w:r>
    </w:p>
    <w:p>
      <w:pPr>
        <w:spacing w:after="160" w:line="360"/>
      </w:pPr>
      <w:r>
        <w:rPr>
          <w:rFonts w:ascii="Times New Roman" w:cs="Times New Roman" w:eastAsia="Times New Roman" w:hAnsi="Times New Roman"/>
          <w:sz w:val="24"/>
          <w:szCs w:val="24"/>
        </w:rPr>
        <w:t xml:space="preserve">Fang, K., Shen, C., Kifer, D., Yang, X., 2019. Prolongation of SMAP to spatiotemporally seamless coverage of continental US using a deep learning neural network. Geophysical Research Letters 44, 11030–11039.</w:t>
      </w:r>
    </w:p>
    <w:p>
      <w:pPr>
        <w:spacing w:after="160" w:line="360"/>
      </w:pPr>
      <w:r>
        <w:rPr>
          <w:rFonts w:ascii="Times New Roman" w:cs="Times New Roman" w:eastAsia="Times New Roman" w:hAnsi="Times New Roman"/>
          <w:sz w:val="24"/>
          <w:szCs w:val="24"/>
        </w:rPr>
        <w:t xml:space="preserve">Lundberg, S.M., Lee, S.I., 2017. A unified approach to interpreting model predictions. Advances in Neural Information Processing Systems 30, 4765–4774.</w:t>
      </w:r>
    </w:p>
    <w:p>
      <w:pPr>
        <w:spacing w:after="160" w:line="360"/>
      </w:pPr>
      <w:r>
        <w:rPr>
          <w:rFonts w:ascii="Times New Roman" w:cs="Times New Roman" w:eastAsia="Times New Roman" w:hAnsi="Times New Roman"/>
          <w:sz w:val="24"/>
          <w:szCs w:val="24"/>
        </w:rPr>
        <w:t xml:space="preserve">Moriasi, D.N., Arnold, J.G., Van Liew, M.W., Bingner, R.L., Harmel, R.D., Veith, T.L., 2007. Model evaluation guidelines for systematic quantification of accuracy in watershed simulations. Transactions of the ASABE 50, 885–900.</w:t>
      </w:r>
    </w:p>
    <w:p>
      <w:pPr>
        <w:spacing w:after="160" w:line="360"/>
      </w:pPr>
      <w:r>
        <w:rPr>
          <w:rFonts w:ascii="Times New Roman" w:cs="Times New Roman" w:eastAsia="Times New Roman" w:hAnsi="Times New Roman"/>
          <w:sz w:val="24"/>
          <w:szCs w:val="24"/>
        </w:rPr>
        <w:t xml:space="preserve">Seneviratne, S.I., Corti, T., Davin, E.L., Hirschi, M., Jaeger, E.B., Lehner, I., Orlowsky, B., Teuling, A.J., 2010. Investigating soil moisture–climate interactions in a changing climate: a review. Earth-Science Reviews 99, 125–161.</w:t>
      </w:r>
    </w:p>
    <w:p>
      <w:pPr>
        <w:spacing w:after="160" w:line="360"/>
      </w:pPr>
      <w:r>
        <w:rPr>
          <w:rFonts w:ascii="Times New Roman" w:cs="Times New Roman" w:eastAsia="Times New Roman" w:hAnsi="Times New Roman"/>
          <w:sz w:val="24"/>
          <w:szCs w:val="24"/>
        </w:rPr>
        <w:t xml:space="preserve">Vereecken, H., et al., 2016. Soil hydrology: recent methodological advances, challenges, and perspectives. Water Resources Research 52, 2016–2051.</w:t>
      </w:r>
    </w:p>
    <w:p>
      <w:pPr>
        <w:spacing w:after="160" w:line="360"/>
      </w:pPr>
      <w:r>
        <w:rPr>
          <w:rFonts w:ascii="Times New Roman" w:cs="Times New Roman" w:eastAsia="Times New Roman" w:hAnsi="Times New Roman"/>
          <w:sz w:val="24"/>
          <w:szCs w:val="24"/>
        </w:rPr>
        <w:t xml:space="preserve">Zhang, Y., et al., 2021. Comparison of machine learning algorithms for soil moisture prediction from remote sensing data. Remote Sensing 13, 3817.</w:t>
      </w:r>
    </w:p>
    <w:sectPr>
      <w:footerReference w:type="default" r:id="rId7"/>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ML Soil Moisture Prediction — Semi-Arid Lysimeter  |  Draft Mois 5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d3557"/>
      <w:sz w:val="28"/>
      <w:szCs w:val="28"/>
    </w:rPr>
  </w:style>
  <w:style w:type="paragraph" w:styleId="Heading2">
    <w:name w:val="Heading 2"/>
    <w:basedOn w:val="Normal"/>
    <w:next w:val="Normal"/>
    <w:qFormat/>
    <w:rPr>
      <w:rFonts w:ascii="Times New Roman" w:cs="Times New Roman" w:eastAsia="Times New Roman" w:hAnsi="Times New Roman"/>
      <w:b/>
      <w:bCs/>
      <w:color w:val="2d6a4f"/>
      <w:sz w:val="26"/>
      <w:szCs w:val="26"/>
    </w:rPr>
  </w:style>
  <w:style w:type="paragraph" w:styleId="Heading3">
    <w:name w:val="Heading 3"/>
    <w:basedOn w:val="Normal"/>
    <w:next w:val="Normal"/>
    <w:qFormat/>
    <w:rPr>
      <w:rFonts w:ascii="Times New Roman" w:cs="Times New Roman" w:eastAsia="Times New Roman" w:hAnsi="Times New Roman"/>
      <w:b/>
      <w:bCs/>
      <w:i/>
      <w:i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2026-04-08T11:41:17.593Z</dcterms:created>
  <dcterms:modified xsi:type="dcterms:W3CDTF">2026-04-08T11:41:17.594Z</dcterms:modified>
</cp:coreProperties>
</file>

<file path=docProps/custom.xml><?xml version="1.0" encoding="utf-8"?>
<Properties xmlns="http://schemas.openxmlformats.org/officeDocument/2006/custom-properties" xmlns:vt="http://schemas.openxmlformats.org/officeDocument/2006/docPropsVTypes"/>
</file>