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Proposition de corrections et de mise en forme</w:t>
        <w:br/>
        <w:t>Rapport WattWatcher BF</w:t>
      </w:r>
    </w:p>
    <w:p>
      <w:r>
        <w:t>Ce document accompagne le rapport original et décrit les corrections à appliquer sans modifier les données techniques.</w:t>
        <w:br/>
        <w:br/>
      </w:r>
    </w:p>
    <w:p>
      <w:pPr>
        <w:pStyle w:val="Heading2"/>
      </w:pPr>
      <w:r>
        <w:t>Mise en page</w:t>
      </w:r>
    </w:p>
    <w:p>
      <w:r>
        <w:t>Police Times New Roman 12, interligne 1,5, texte justifié, marges 2,5 cm, titres homogènes, pagination et table des matières.</w:t>
      </w:r>
    </w:p>
    <w:p>
      <w:pPr>
        <w:pStyle w:val="Heading2"/>
      </w:pPr>
      <w:r>
        <w:t>Numérotation</w:t>
      </w:r>
    </w:p>
    <w:p>
      <w:r>
        <w:t>Corriger les doubles numérotations (ex. '1. 1.') et renuméroter automatiquement les sections.</w:t>
      </w:r>
    </w:p>
    <w:p>
      <w:pPr>
        <w:pStyle w:val="Heading2"/>
      </w:pPr>
      <w:r>
        <w:t>Figures</w:t>
      </w:r>
    </w:p>
    <w:p>
      <w:r>
        <w:t>Renuméroter toutes les figures dans l'ordre d'apparition et uniformiser les légendes.</w:t>
      </w:r>
    </w:p>
    <w:p>
      <w:pPr>
        <w:pStyle w:val="Heading2"/>
      </w:pPr>
      <w:r>
        <w:t>Captures</w:t>
      </w:r>
    </w:p>
    <w:p>
      <w:r>
        <w:t>Conserver les captures essentielles dans le corps du rapport et déplacer les autres en annexe.</w:t>
      </w:r>
    </w:p>
    <w:p>
      <w:pPr>
        <w:pStyle w:val="Heading2"/>
      </w:pPr>
      <w:r>
        <w:t>Annexes</w:t>
      </w:r>
    </w:p>
    <w:p>
      <w:r>
        <w:t>Simplifier l'arborescence du projet et déplacer les détails techniques (API, commandes, code) en annexes.</w:t>
      </w:r>
    </w:p>
    <w:p>
      <w:pPr>
        <w:pStyle w:val="Heading2"/>
      </w:pPr>
      <w:r>
        <w:t>API</w:t>
      </w:r>
    </w:p>
    <w:p>
      <w:r>
        <w:t>Présenter les endpoints dans un tableau synthétique, avec les détails en annexe.</w:t>
      </w:r>
    </w:p>
    <w:p>
      <w:pPr>
        <w:pStyle w:val="Heading2"/>
      </w:pPr>
      <w:r>
        <w:t>Commandes</w:t>
      </w:r>
    </w:p>
    <w:p>
      <w:r>
        <w:t>Déplacer les longues commandes Python et scripts en annexe.</w:t>
      </w:r>
    </w:p>
    <w:p>
      <w:pPr>
        <w:pStyle w:val="Heading2"/>
      </w:pPr>
      <w:r>
        <w:t>Style</w:t>
      </w:r>
    </w:p>
    <w:p>
      <w:r>
        <w:t>Supprimer les répétitions, alléger certaines formulations et harmoniser les listes.</w:t>
      </w:r>
    </w:p>
    <w:p>
      <w:pPr>
        <w:pStyle w:val="Heading2"/>
      </w:pPr>
      <w:r>
        <w:t>Conclusion</w:t>
      </w:r>
    </w:p>
    <w:p>
      <w:r>
        <w:t>Remplacer les affirmations absolues (ex. '100 % conforme') par une formulation académique plus mesurée.</w:t>
      </w:r>
    </w:p>
    <w:p>
      <w:pPr>
        <w:pStyle w:val="Heading2"/>
      </w:pPr>
      <w:r>
        <w:t>Présentation</w:t>
      </w:r>
    </w:p>
    <w:p>
      <w:r>
        <w:t>Uniformiser les espacements, les puces, les tableaux et les titres pour une lecture fluide.</w:t>
      </w:r>
    </w:p>
    <w:p>
      <w:pPr>
        <w:pStyle w:val="Heading2"/>
      </w:pPr>
      <w:r>
        <w:t>Remarque</w:t>
      </w:r>
    </w:p>
    <w:p>
      <w:r>
        <w:t>Une révision complète du rapport original nécessite l'édition directe du document Word afin d'appliquer automatiquement la nouvelle mise en forme, la renumérotation des titres et figures, la table des matières et la réorganisation des annexes.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