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jc w:val="center"/>
      </w:pPr>
      <w:r>
        <w:rPr>
          <w:rFonts w:ascii="Calibri" w:cs="Calibri" w:eastAsia="Calibri" w:hAnsi="Calibri"/>
          <w:b/>
          <w:bCs/>
          <w:color w:val="234B38"/>
          <w:sz w:val="32"/>
          <w:szCs w:val="32"/>
        </w:rPr>
        <w:t xml:space="preserve">ONLINE CAREER GUIDANCE PORTAL FOR UNDERPRIVILEGED STUDENTS</w:t>
      </w:r>
    </w:p>
    <w:p>
      <w:pPr>
        <w:spacing w:after="80" w:before="80"/>
        <w:jc w:val="center"/>
      </w:pPr>
      <w:r>
        <w:rPr>
          <w:rFonts w:ascii="Calibri" w:cs="Calibri" w:eastAsia="Calibri" w:hAnsi="Calibri"/>
          <w:color w:val="C66B4E"/>
          <w:sz w:val="24"/>
          <w:szCs w:val="24"/>
        </w:rPr>
        <w:t xml:space="preserve">Community Engagement Program (CEP)</w:t>
      </w:r>
    </w:p>
    <w:p>
      <w:pPr>
        <w:spacing w:after="100" w:before="200"/>
      </w:pPr>
    </w:p>
    <w:p>
      <w:pPr>
        <w:spacing w:after="60" w:before="60"/>
        <w:jc w:val="center"/>
      </w:pPr>
      <w:r>
        <w:rPr>
          <w:rFonts w:ascii="Calibri" w:cs="Calibri" w:eastAsia="Calibri" w:hAnsi="Calibri"/>
          <w:b w:val="false"/>
          <w:bCs w:val="false"/>
          <w:color w:val="303832"/>
          <w:sz w:val="22"/>
          <w:szCs w:val="22"/>
        </w:rPr>
        <w:t xml:space="preserve">Submitted by:</w:t>
      </w:r>
    </w:p>
    <w:p>
      <w:pPr>
        <w:spacing w:after="60" w:before="60"/>
        <w:jc w:val="center"/>
      </w:pPr>
      <w:r>
        <w:rPr>
          <w:rFonts w:ascii="Calibri" w:cs="Calibri" w:eastAsia="Calibri" w:hAnsi="Calibri"/>
          <w:b/>
          <w:bCs/>
          <w:color w:val="234B38"/>
          <w:sz w:val="26"/>
          <w:szCs w:val="26"/>
        </w:rPr>
        <w:t xml:space="preserve">ZEESHAAN SHAIKH</w:t>
      </w:r>
    </w:p>
    <w:p>
      <w:pPr>
        <w:spacing w:after="60" w:before="60"/>
        <w:jc w:val="center"/>
      </w:pPr>
      <w:r>
        <w:rPr>
          <w:rFonts w:ascii="Calibri" w:cs="Calibri" w:eastAsia="Calibri" w:hAnsi="Calibri"/>
          <w:b/>
          <w:bCs/>
          <w:color w:val="303832"/>
          <w:sz w:val="22"/>
          <w:szCs w:val="22"/>
        </w:rPr>
        <w:t xml:space="preserve">T.Y.BSc. IT (Semester-V)</w:t>
      </w:r>
    </w:p>
    <w:p>
      <w:pPr>
        <w:spacing w:after="80" w:before="160"/>
      </w:pPr>
    </w:p>
    <w:p>
      <w:pPr>
        <w:spacing w:after="60" w:before="60"/>
        <w:jc w:val="center"/>
      </w:pPr>
      <w:r>
        <w:rPr>
          <w:rFonts w:ascii="Calibri" w:cs="Calibri" w:eastAsia="Calibri" w:hAnsi="Calibri"/>
          <w:b w:val="false"/>
          <w:bCs w:val="false"/>
          <w:color w:val="303832"/>
          <w:sz w:val="22"/>
          <w:szCs w:val="22"/>
        </w:rPr>
        <w:t xml:space="preserve">Under the Guidance of:</w:t>
      </w:r>
    </w:p>
    <w:p>
      <w:pPr>
        <w:spacing w:after="60" w:before="60"/>
        <w:jc w:val="center"/>
      </w:pPr>
      <w:r>
        <w:rPr>
          <w:rFonts w:ascii="Calibri" w:cs="Calibri" w:eastAsia="Calibri" w:hAnsi="Calibri"/>
          <w:b/>
          <w:bCs/>
          <w:color w:val="234B38"/>
          <w:sz w:val="24"/>
          <w:szCs w:val="24"/>
        </w:rPr>
        <w:t xml:space="preserve">Ms. Kohinoor Khan</w:t>
      </w:r>
    </w:p>
    <w:p>
      <w:pPr>
        <w:spacing w:after="60" w:before="60"/>
        <w:jc w:val="center"/>
      </w:pPr>
      <w:r>
        <w:rPr>
          <w:rFonts w:ascii="Calibri" w:cs="Calibri" w:eastAsia="Calibri" w:hAnsi="Calibri"/>
          <w:b w:val="false"/>
          <w:bCs w:val="false"/>
          <w:color w:val="303832"/>
          <w:sz w:val="20"/>
          <w:szCs w:val="20"/>
        </w:rPr>
        <w:t xml:space="preserve">Department of Information Technology</w:t>
      </w:r>
    </w:p>
    <w:p>
      <w:pPr>
        <w:spacing w:after="100" w:before="200"/>
      </w:pPr>
    </w:p>
    <w:p>
      <w:pPr>
        <w:spacing w:after="80" w:before="120"/>
        <w:jc w:val="center"/>
      </w:pPr>
      <w:r>
        <w:drawing>
          <wp:inline distT="0" distB="0" distL="0" distR="0">
            <wp:extent cx="11430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143000" cy="1143000"/>
                    </a:xfrm>
                    <a:prstGeom prst="rect">
                      <a:avLst/>
                    </a:prstGeom>
                  </pic:spPr>
                </pic:pic>
              </a:graphicData>
            </a:graphic>
          </wp:inline>
        </w:drawing>
      </w:r>
    </w:p>
    <w:p>
      <w:pPr>
        <w:spacing w:after="60" w:before="60"/>
        <w:jc w:val="center"/>
      </w:pPr>
      <w:r>
        <w:rPr>
          <w:rFonts w:ascii="Calibri" w:cs="Calibri" w:eastAsia="Calibri" w:hAnsi="Calibri"/>
          <w:b/>
          <w:bCs/>
          <w:color w:val="234B38"/>
          <w:sz w:val="22"/>
          <w:szCs w:val="22"/>
        </w:rPr>
        <w:t xml:space="preserve">DEPARTMENT OF INFORMATION TECHNOLOGY</w:t>
      </w:r>
    </w:p>
    <w:p>
      <w:pPr>
        <w:spacing w:after="60" w:before="60"/>
        <w:jc w:val="center"/>
      </w:pPr>
      <w:r>
        <w:rPr>
          <w:rFonts w:ascii="Calibri" w:cs="Calibri" w:eastAsia="Calibri" w:hAnsi="Calibri"/>
          <w:b w:val="false"/>
          <w:bCs w:val="false"/>
          <w:color w:val="303832"/>
          <w:sz w:val="20"/>
          <w:szCs w:val="20"/>
        </w:rPr>
        <w:t xml:space="preserve">Chembur Trombay Education Society’s</w:t>
      </w:r>
    </w:p>
    <w:p>
      <w:pPr>
        <w:spacing w:after="60" w:before="60"/>
        <w:jc w:val="center"/>
      </w:pPr>
      <w:r>
        <w:rPr>
          <w:rFonts w:ascii="Calibri" w:cs="Calibri" w:eastAsia="Calibri" w:hAnsi="Calibri"/>
          <w:b/>
          <w:bCs/>
          <w:color w:val="303832"/>
          <w:sz w:val="22"/>
          <w:szCs w:val="22"/>
        </w:rPr>
        <w:t xml:space="preserve">N. G. Acharya &amp; D. K. Marathe College Of Arts, Science &amp; Commerce</w:t>
      </w:r>
    </w:p>
    <w:p>
      <w:pPr>
        <w:spacing w:after="60" w:before="60"/>
        <w:jc w:val="center"/>
      </w:pPr>
      <w:r>
        <w:rPr>
          <w:rFonts w:ascii="Calibri" w:cs="Calibri" w:eastAsia="Calibri" w:hAnsi="Calibri"/>
          <w:b w:val="false"/>
          <w:bCs w:val="false"/>
          <w:color w:val="303832"/>
          <w:sz w:val="18"/>
          <w:szCs w:val="18"/>
        </w:rPr>
        <w:t xml:space="preserve">Shri .N.G. Acharya Marg, Chembur, Mumbai 400 071, India.</w:t>
      </w:r>
    </w:p>
    <w:p>
      <w:pPr>
        <w:spacing w:after="60" w:before="60"/>
        <w:jc w:val="center"/>
      </w:pPr>
      <w:r>
        <w:rPr>
          <w:rFonts w:ascii="Calibri" w:cs="Calibri" w:eastAsia="Calibri" w:hAnsi="Calibri"/>
          <w:b/>
          <w:bCs/>
          <w:color w:val="303832"/>
          <w:sz w:val="18"/>
          <w:szCs w:val="18"/>
        </w:rPr>
        <w:t xml:space="preserve">(Affiliated to University of Mumbai)</w:t>
      </w:r>
    </w:p>
    <w:p>
      <w:pPr>
        <w:spacing w:after="60" w:before="100"/>
      </w:pPr>
    </w:p>
    <w:p>
      <w:pPr>
        <w:spacing w:after="60" w:before="60"/>
        <w:jc w:val="center"/>
      </w:pPr>
      <w:r>
        <w:rPr>
          <w:rFonts w:ascii="Calibri" w:cs="Calibri" w:eastAsia="Calibri" w:hAnsi="Calibri"/>
          <w:b/>
          <w:bCs/>
          <w:color w:val="C66B4E"/>
          <w:sz w:val="22"/>
          <w:szCs w:val="22"/>
        </w:rPr>
        <w:t xml:space="preserve">Academic Year: 2026 - 2027</w:t>
      </w:r>
    </w:p>
    <w:p>
      <w:pPr>
        <w:pageBreakBefore/>
      </w:pPr>
    </w:p>
    <w:p>
      <w:pPr>
        <w:spacing w:after="60" w:before="60"/>
        <w:jc w:val="center"/>
      </w:pPr>
      <w:r>
        <w:rPr>
          <w:rFonts w:ascii="Calibri" w:cs="Calibri" w:eastAsia="Calibri" w:hAnsi="Calibri"/>
          <w:b/>
          <w:bCs/>
          <w:color w:val="234B38"/>
          <w:sz w:val="22"/>
          <w:szCs w:val="22"/>
        </w:rPr>
        <w:t xml:space="preserve">DEPARTMENT OF INFORMATION TECHNOLOGY</w:t>
      </w:r>
    </w:p>
    <w:p>
      <w:pPr>
        <w:spacing w:after="60" w:before="60"/>
        <w:jc w:val="center"/>
      </w:pPr>
      <w:r>
        <w:rPr>
          <w:rFonts w:ascii="Calibri" w:cs="Calibri" w:eastAsia="Calibri" w:hAnsi="Calibri"/>
          <w:b w:val="false"/>
          <w:bCs w:val="false"/>
          <w:color w:val="303832"/>
          <w:sz w:val="20"/>
          <w:szCs w:val="20"/>
        </w:rPr>
        <w:t xml:space="preserve">Chembur Trombay Education Society’s</w:t>
      </w:r>
    </w:p>
    <w:p>
      <w:pPr>
        <w:spacing w:after="60" w:before="60"/>
        <w:jc w:val="center"/>
      </w:pPr>
      <w:r>
        <w:rPr>
          <w:rFonts w:ascii="Calibri" w:cs="Calibri" w:eastAsia="Calibri" w:hAnsi="Calibri"/>
          <w:b/>
          <w:bCs/>
          <w:color w:val="303832"/>
          <w:sz w:val="22"/>
          <w:szCs w:val="22"/>
        </w:rPr>
        <w:t xml:space="preserve">N. G. Acharya &amp; D. K. Marathe College Arts, Science &amp; Commerce</w:t>
      </w:r>
    </w:p>
    <w:p>
      <w:pPr>
        <w:spacing w:after="60" w:before="60"/>
        <w:jc w:val="center"/>
      </w:pPr>
      <w:r>
        <w:rPr>
          <w:rFonts w:ascii="Calibri" w:cs="Calibri" w:eastAsia="Calibri" w:hAnsi="Calibri"/>
          <w:b w:val="false"/>
          <w:bCs w:val="false"/>
          <w:color w:val="303832"/>
          <w:sz w:val="18"/>
          <w:szCs w:val="18"/>
        </w:rPr>
        <w:t xml:space="preserve">Shri .N.G. Acharya Marg, Chembur, Mumbai 400 071, India.</w:t>
      </w:r>
    </w:p>
    <w:p>
      <w:pPr>
        <w:spacing w:after="60" w:before="60"/>
        <w:jc w:val="center"/>
      </w:pPr>
      <w:r>
        <w:rPr>
          <w:rFonts w:ascii="Calibri" w:cs="Calibri" w:eastAsia="Calibri" w:hAnsi="Calibri"/>
          <w:b/>
          <w:bCs/>
          <w:color w:val="303832"/>
          <w:sz w:val="18"/>
          <w:szCs w:val="18"/>
        </w:rPr>
        <w:t xml:space="preserve">(Affiliated to University of Mumbai)</w:t>
      </w:r>
    </w:p>
    <w:p>
      <w:pPr>
        <w:spacing w:after="60" w:before="100"/>
      </w:pPr>
    </w:p>
    <w:p>
      <w:pPr>
        <w:spacing w:after="80" w:before="120"/>
        <w:jc w:val="center"/>
      </w:pPr>
      <w:r>
        <w:drawing>
          <wp:inline distT="0" distB="0" distL="0" distR="0">
            <wp:extent cx="952500" cy="952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52500" cy="952500"/>
                    </a:xfrm>
                    <a:prstGeom prst="rect">
                      <a:avLst/>
                    </a:prstGeom>
                  </pic:spPr>
                </pic:pic>
              </a:graphicData>
            </a:graphic>
          </wp:inline>
        </w:drawing>
      </w:r>
    </w:p>
    <w:p>
      <w:pPr>
        <w:spacing w:after="120" w:before="200"/>
        <w:jc w:val="center"/>
      </w:pPr>
      <w:r>
        <w:rPr>
          <w:rFonts w:ascii="Calibri" w:cs="Calibri" w:eastAsia="Calibri" w:hAnsi="Calibri"/>
          <w:b/>
          <w:bCs/>
          <w:color w:val="234B38"/>
          <w:sz w:val="30"/>
          <w:szCs w:val="30"/>
        </w:rPr>
        <w:t xml:space="preserve">CERTIFICATE</w:t>
      </w:r>
    </w:p>
    <w:p>
      <w:pPr>
        <w:spacing w:after="60" w:before="60" w:line="300"/>
      </w:pPr>
      <w:r>
        <w:rPr>
          <w:rFonts w:ascii="Calibri" w:cs="Calibri" w:eastAsia="Calibri" w:hAnsi="Calibri"/>
          <w:color w:val="303832"/>
          <w:sz w:val="22"/>
          <w:szCs w:val="22"/>
        </w:rPr>
        <w:t xml:space="preserve">I hereby certify that Mr. ZEESHAAN SHAIKH, student of N. G. Acharya &amp; D. K. Marathe College of Arts, Science &amp; Commerce studying in Bachelor of Information Technology SEM-V, has successfully completed the project on CEP Title: “ONLINE CAREER GUIDANCE PORTAL FOR UNDERPRIVILEGED STUDENTS” in the area of INFORMATION TECHNOLOGY specialization for the academic year 2026-2027. To the best of my knowledge, the work of the student is original and the information included in the project is correct.</w:t>
      </w:r>
    </w:p>
    <w:p>
      <w:pPr>
        <w:spacing w:after="100" w:before="4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tcPr>
            <w:tcBorders>
              <w:top w:val="none"/>
              <w:left w:val="none"/>
              <w:bottom w:val="none"/>
              <w:right w:val="none"/>
            </w:tcBorders>
          </w:tcPr>
          <w:p>
            <w:pPr>
              <w:spacing w:after="60" w:before="60"/>
              <w:jc w:val="center"/>
            </w:pPr>
            <w:r>
              <w:rPr>
                <w:rFonts w:ascii="Calibri" w:cs="Calibri" w:eastAsia="Calibri" w:hAnsi="Calibri"/>
                <w:b/>
                <w:bCs/>
                <w:color w:val="303832"/>
                <w:sz w:val="22"/>
                <w:szCs w:val="22"/>
              </w:rPr>
              <w:t xml:space="preserve">____________________</w:t>
            </w:r>
          </w:p>
          <w:p>
            <w:pPr>
              <w:spacing w:after="60" w:before="60"/>
              <w:jc w:val="center"/>
            </w:pPr>
            <w:r>
              <w:rPr>
                <w:rFonts w:ascii="Calibri" w:cs="Calibri" w:eastAsia="Calibri" w:hAnsi="Calibri"/>
                <w:b/>
                <w:bCs/>
                <w:color w:val="303832"/>
                <w:sz w:val="22"/>
                <w:szCs w:val="22"/>
              </w:rPr>
              <w:t xml:space="preserve">Ms. Kohinoor Khan</w:t>
            </w:r>
          </w:p>
          <w:p>
            <w:pPr>
              <w:spacing w:after="60" w:before="60"/>
              <w:jc w:val="center"/>
            </w:pPr>
            <w:r>
              <w:rPr>
                <w:rFonts w:ascii="Calibri" w:cs="Calibri" w:eastAsia="Calibri" w:hAnsi="Calibri"/>
                <w:b w:val="false"/>
                <w:bCs w:val="false"/>
                <w:color w:val="303832"/>
                <w:sz w:val="18"/>
                <w:szCs w:val="18"/>
              </w:rPr>
              <w:t xml:space="preserve">Internal Guide</w:t>
            </w:r>
          </w:p>
        </w:tc>
        <w:tc>
          <w:tcPr>
            <w:tcBorders>
              <w:top w:val="none"/>
              <w:left w:val="none"/>
              <w:bottom w:val="none"/>
              <w:right w:val="none"/>
            </w:tcBorders>
          </w:tcPr>
          <w:p>
            <w:pPr>
              <w:spacing w:after="60" w:before="60"/>
              <w:jc w:val="center"/>
            </w:pPr>
            <w:r>
              <w:rPr>
                <w:rFonts w:ascii="Calibri" w:cs="Calibri" w:eastAsia="Calibri" w:hAnsi="Calibri"/>
                <w:b/>
                <w:bCs/>
                <w:color w:val="303832"/>
                <w:sz w:val="22"/>
                <w:szCs w:val="22"/>
              </w:rPr>
              <w:t xml:space="preserve">____________________</w:t>
            </w:r>
          </w:p>
          <w:p>
            <w:pPr>
              <w:spacing w:after="60" w:before="60"/>
              <w:jc w:val="center"/>
            </w:pPr>
            <w:r>
              <w:rPr>
                <w:rFonts w:ascii="Calibri" w:cs="Calibri" w:eastAsia="Calibri" w:hAnsi="Calibri"/>
                <w:b/>
                <w:bCs/>
                <w:color w:val="303832"/>
                <w:sz w:val="22"/>
                <w:szCs w:val="22"/>
              </w:rPr>
              <w:t xml:space="preserve">External Examiner</w:t>
            </w:r>
          </w:p>
          <w:p>
            <w:pPr>
              <w:spacing w:after="60" w:before="60"/>
              <w:jc w:val="center"/>
            </w:pPr>
            <w:r>
              <w:rPr>
                <w:rFonts w:ascii="Calibri" w:cs="Calibri" w:eastAsia="Calibri" w:hAnsi="Calibri"/>
                <w:b w:val="false"/>
                <w:bCs w:val="false"/>
                <w:color w:val="303832"/>
                <w:sz w:val="18"/>
                <w:szCs w:val="18"/>
              </w:rPr>
              <w:t xml:space="preserve">University of Mumbai</w:t>
            </w:r>
          </w:p>
        </w:tc>
        <w:tc>
          <w:tcPr>
            <w:tcBorders>
              <w:top w:val="none"/>
              <w:left w:val="none"/>
              <w:bottom w:val="none"/>
              <w:right w:val="none"/>
            </w:tcBorders>
          </w:tcPr>
          <w:p>
            <w:pPr>
              <w:spacing w:after="60" w:before="60"/>
              <w:jc w:val="center"/>
            </w:pPr>
            <w:r>
              <w:rPr>
                <w:rFonts w:ascii="Calibri" w:cs="Calibri" w:eastAsia="Calibri" w:hAnsi="Calibri"/>
                <w:b/>
                <w:bCs/>
                <w:color w:val="303832"/>
                <w:sz w:val="22"/>
                <w:szCs w:val="22"/>
              </w:rPr>
              <w:t xml:space="preserve">____________________</w:t>
            </w:r>
          </w:p>
          <w:p>
            <w:pPr>
              <w:spacing w:after="60" w:before="60"/>
              <w:jc w:val="center"/>
            </w:pPr>
            <w:r>
              <w:rPr>
                <w:rFonts w:ascii="Calibri" w:cs="Calibri" w:eastAsia="Calibri" w:hAnsi="Calibri"/>
                <w:b/>
                <w:bCs/>
                <w:color w:val="303832"/>
                <w:sz w:val="22"/>
                <w:szCs w:val="22"/>
              </w:rPr>
              <w:t xml:space="preserve">Head of Department</w:t>
            </w:r>
          </w:p>
          <w:p>
            <w:pPr>
              <w:spacing w:after="60" w:before="60"/>
              <w:jc w:val="center"/>
            </w:pPr>
            <w:r>
              <w:rPr>
                <w:rFonts w:ascii="Calibri" w:cs="Calibri" w:eastAsia="Calibri" w:hAnsi="Calibri"/>
                <w:b w:val="false"/>
                <w:bCs w:val="false"/>
                <w:color w:val="303832"/>
                <w:sz w:val="18"/>
                <w:szCs w:val="18"/>
              </w:rPr>
              <w:t xml:space="preserve">Information Technology</w:t>
            </w:r>
          </w:p>
        </w:tc>
      </w:tr>
      <w:tr>
        <w:tc>
          <w:tcPr>
            <w:tcBorders>
              <w:top w:val="none"/>
              <w:left w:val="none"/>
              <w:bottom w:val="none"/>
              <w:right w:val="none"/>
            </w:tcBorders>
          </w:tcPr>
          <w:p>
            <w:pPr>
              <w:spacing w:before="200"/>
            </w:pPr>
          </w:p>
          <w:p>
            <w:pPr>
              <w:spacing w:after="60" w:before="60"/>
              <w:jc w:val="center"/>
            </w:pPr>
            <w:r>
              <w:rPr>
                <w:rFonts w:ascii="Calibri" w:cs="Calibri" w:eastAsia="Calibri" w:hAnsi="Calibri"/>
                <w:b/>
                <w:bCs/>
                <w:color w:val="303832"/>
                <w:sz w:val="22"/>
                <w:szCs w:val="22"/>
              </w:rPr>
              <w:t xml:space="preserve">____________________</w:t>
            </w:r>
          </w:p>
          <w:p>
            <w:pPr>
              <w:spacing w:after="60" w:before="60"/>
              <w:jc w:val="center"/>
            </w:pPr>
            <w:r>
              <w:rPr>
                <w:rFonts w:ascii="Calibri" w:cs="Calibri" w:eastAsia="Calibri" w:hAnsi="Calibri"/>
                <w:b/>
                <w:bCs/>
                <w:color w:val="303832"/>
                <w:sz w:val="22"/>
                <w:szCs w:val="22"/>
              </w:rPr>
              <w:t xml:space="preserve">Vice Principal</w:t>
            </w:r>
          </w:p>
        </w:tc>
        <w:tc>
          <w:tcPr>
            <w:tcBorders>
              <w:top w:val="none"/>
              <w:left w:val="none"/>
              <w:bottom w:val="none"/>
              <w:right w:val="none"/>
            </w:tcBorders>
          </w:tcPr>
          <w:p>
            <w:pPr>
              <w:spacing w:before="200"/>
            </w:pPr>
          </w:p>
          <w:p>
            <w:pPr>
              <w:spacing w:after="60" w:before="60"/>
              <w:jc w:val="center"/>
            </w:pPr>
            <w:r>
              <w:rPr>
                <w:rFonts w:ascii="Calibri" w:cs="Calibri" w:eastAsia="Calibri" w:hAnsi="Calibri"/>
                <w:b w:val="false"/>
                <w:bCs w:val="false"/>
                <w:color w:val="888888"/>
                <w:sz w:val="18"/>
                <w:szCs w:val="18"/>
              </w:rPr>
              <w:t xml:space="preserve">College Seal / Stamp</w:t>
            </w:r>
          </w:p>
        </w:tc>
        <w:tc>
          <w:tcPr>
            <w:tcBorders>
              <w:top w:val="none"/>
              <w:left w:val="none"/>
              <w:bottom w:val="none"/>
              <w:right w:val="none"/>
            </w:tcBorders>
          </w:tcPr>
          <w:p>
            <w:pPr>
              <w:spacing w:before="200"/>
            </w:pPr>
          </w:p>
          <w:p>
            <w:pPr>
              <w:spacing w:after="60" w:before="60"/>
              <w:jc w:val="center"/>
            </w:pPr>
            <w:r>
              <w:rPr>
                <w:rFonts w:ascii="Calibri" w:cs="Calibri" w:eastAsia="Calibri" w:hAnsi="Calibri"/>
                <w:b/>
                <w:bCs/>
                <w:color w:val="303832"/>
                <w:sz w:val="22"/>
                <w:szCs w:val="22"/>
              </w:rPr>
              <w:t xml:space="preserve">____________________</w:t>
            </w:r>
          </w:p>
          <w:p>
            <w:pPr>
              <w:spacing w:after="60" w:before="60"/>
              <w:jc w:val="center"/>
            </w:pPr>
            <w:r>
              <w:rPr>
                <w:rFonts w:ascii="Calibri" w:cs="Calibri" w:eastAsia="Calibri" w:hAnsi="Calibri"/>
                <w:b/>
                <w:bCs/>
                <w:color w:val="303832"/>
                <w:sz w:val="22"/>
                <w:szCs w:val="22"/>
              </w:rPr>
              <w:t xml:space="preserve">I/c Principal</w:t>
            </w:r>
          </w:p>
        </w:tc>
      </w:tr>
    </w:tbl>
    <w:p>
      <w:pPr>
        <w:pageBreakBefore/>
      </w:pPr>
    </w:p>
    <w:p>
      <w:pPr>
        <w:spacing w:after="120" w:before="200"/>
        <w:jc w:val="center"/>
      </w:pPr>
      <w:r>
        <w:rPr>
          <w:rFonts w:ascii="Calibri" w:cs="Calibri" w:eastAsia="Calibri" w:hAnsi="Calibri"/>
          <w:b/>
          <w:bCs/>
          <w:color w:val="234B38"/>
          <w:sz w:val="28"/>
          <w:szCs w:val="28"/>
        </w:rPr>
        <w:t xml:space="preserve">DECLARATION</w:t>
      </w:r>
    </w:p>
    <w:p>
      <w:pPr>
        <w:spacing w:after="100" w:before="160"/>
      </w:pPr>
    </w:p>
    <w:p>
      <w:pPr>
        <w:spacing w:after="60" w:before="60" w:line="300"/>
      </w:pPr>
      <w:r>
        <w:rPr>
          <w:rFonts w:ascii="Calibri" w:cs="Calibri" w:eastAsia="Calibri" w:hAnsi="Calibri"/>
          <w:color w:val="303832"/>
          <w:sz w:val="22"/>
          <w:szCs w:val="22"/>
        </w:rPr>
        <w:t xml:space="preserve">I, Mr. ZEESHAAN SHAIKH, student of N. G. Acharya &amp; D. K. Marathe College Arts, Science &amp; Commerce studying in Bachelor of Information Technology SEM-V, hereby declare that I have completed the Field Project titled “ONLINE CAREER GUIDANCE PORTAL FOR UNDERPRIVILEGED STUDENTS” during the academic year 2026-2027.</w:t>
      </w:r>
    </w:p>
    <w:p>
      <w:pPr>
        <w:spacing w:after="60" w:before="60" w:line="300"/>
      </w:pPr>
      <w:r>
        <w:rPr>
          <w:rFonts w:ascii="Calibri" w:cs="Calibri" w:eastAsia="Calibri" w:hAnsi="Calibri"/>
          <w:color w:val="303832"/>
          <w:sz w:val="22"/>
          <w:szCs w:val="22"/>
        </w:rPr>
        <w:t xml:space="preserve">The report is original and the information/data included in the report is true emerging from the primary and secondary data gathered, implemented, and analyzed as part of this Field Project.</w:t>
      </w:r>
    </w:p>
    <w:p>
      <w:pPr>
        <w:spacing w:after="60" w:before="60" w:line="300"/>
      </w:pPr>
      <w:r>
        <w:rPr>
          <w:rFonts w:ascii="Calibri" w:cs="Calibri" w:eastAsia="Calibri" w:hAnsi="Calibri"/>
          <w:color w:val="303832"/>
          <w:sz w:val="22"/>
          <w:szCs w:val="22"/>
        </w:rPr>
        <w:t xml:space="preserve">Due credit is extended on the work of Literature/Secondary Survey by endorsing it in the Bibliography as per the prescribed format.</w:t>
      </w:r>
    </w:p>
    <w:p>
      <w:pPr>
        <w:spacing w:after="80" w:before="400"/>
      </w:pPr>
    </w:p>
    <w:p>
      <w:pPr>
        <w:spacing w:after="60" w:before="60" w:line="300"/>
      </w:pPr>
      <w:r>
        <w:rPr>
          <w:rFonts w:ascii="Calibri" w:cs="Calibri" w:eastAsia="Calibri" w:hAnsi="Calibri"/>
          <w:color w:val="303832"/>
          <w:sz w:val="22"/>
          <w:szCs w:val="22"/>
        </w:rPr>
        <w:t xml:space="preserve">Signature of the Student: __________________________________</w:t>
      </w:r>
    </w:p>
    <w:p>
      <w:pPr>
        <w:spacing w:after="60" w:before="60" w:line="300"/>
      </w:pPr>
      <w:r>
        <w:rPr>
          <w:rFonts w:ascii="Calibri" w:cs="Calibri" w:eastAsia="Calibri" w:hAnsi="Calibri"/>
          <w:color w:val="303832"/>
          <w:sz w:val="22"/>
          <w:szCs w:val="22"/>
        </w:rPr>
        <w:t xml:space="preserve">Name: ZEESHAAN SHAIKH</w:t>
      </w:r>
    </w:p>
    <w:p>
      <w:pPr>
        <w:spacing w:after="60" w:before="60" w:line="300"/>
      </w:pPr>
      <w:r>
        <w:rPr>
          <w:rFonts w:ascii="Calibri" w:cs="Calibri" w:eastAsia="Calibri" w:hAnsi="Calibri"/>
          <w:color w:val="303832"/>
          <w:sz w:val="22"/>
          <w:szCs w:val="22"/>
        </w:rPr>
        <w:t xml:space="preserve">Roll No. / Seat No.: 96</w:t>
      </w:r>
    </w:p>
    <w:p>
      <w:pPr>
        <w:spacing w:after="60" w:before="60" w:line="300"/>
      </w:pPr>
      <w:r>
        <w:rPr>
          <w:rFonts w:ascii="Calibri" w:cs="Calibri" w:eastAsia="Calibri" w:hAnsi="Calibri"/>
          <w:color w:val="303832"/>
          <w:sz w:val="22"/>
          <w:szCs w:val="22"/>
        </w:rPr>
        <w:t xml:space="preserve">Date: 23rd October 2026</w:t>
      </w:r>
    </w:p>
    <w:p>
      <w:pPr>
        <w:spacing w:after="60" w:before="60" w:line="300"/>
      </w:pPr>
      <w:r>
        <w:rPr>
          <w:rFonts w:ascii="Calibri" w:cs="Calibri" w:eastAsia="Calibri" w:hAnsi="Calibri"/>
          <w:color w:val="303832"/>
          <w:sz w:val="22"/>
          <w:szCs w:val="22"/>
        </w:rPr>
        <w:t xml:space="preserve">Place: Chembur, Mumbai</w:t>
      </w:r>
    </w:p>
    <w:p>
      <w:pPr>
        <w:pageBreakBefore/>
      </w:pPr>
    </w:p>
    <w:p>
      <w:pPr>
        <w:spacing w:after="120" w:before="200"/>
        <w:jc w:val="center"/>
      </w:pPr>
      <w:r>
        <w:rPr>
          <w:rFonts w:ascii="Calibri" w:cs="Calibri" w:eastAsia="Calibri" w:hAnsi="Calibri"/>
          <w:b/>
          <w:bCs/>
          <w:color w:val="234B38"/>
          <w:sz w:val="26"/>
          <w:szCs w:val="26"/>
        </w:rPr>
        <w:t xml:space="preserve">Annexure V</w:t>
      </w:r>
    </w:p>
    <w:p>
      <w:pPr>
        <w:spacing w:after="80" w:before="80"/>
        <w:jc w:val="center"/>
      </w:pPr>
      <w:r>
        <w:rPr>
          <w:rFonts w:ascii="Calibri" w:cs="Calibri" w:eastAsia="Calibri" w:hAnsi="Calibri"/>
          <w:color w:val="303832"/>
          <w:sz w:val="20"/>
          <w:szCs w:val="20"/>
        </w:rPr>
        <w:t xml:space="preserve">Student Feedback on CEP (To be filled by Students after CEP completion)</w:t>
      </w:r>
    </w:p>
    <w:p>
      <w:pPr>
        <w:spacing w:after="60" w:before="100"/>
      </w:pPr>
    </w:p>
    <w:p>
      <w:pPr>
        <w:pStyle w:val="ListParagraph"/>
        <w:numPr>
          <w:ilvl w:val="0"/>
          <w:numId w:val="1"/>
        </w:numPr>
        <w:spacing w:after="40" w:before="40" w:line="280"/>
      </w:pPr>
      <w:r>
        <w:rPr>
          <w:rFonts w:ascii="Calibri" w:cs="Calibri" w:eastAsia="Calibri" w:hAnsi="Calibri"/>
          <w:b/>
          <w:bCs/>
          <w:color w:val="234B38"/>
          <w:sz w:val="22"/>
          <w:szCs w:val="22"/>
        </w:rPr>
        <w:t xml:space="preserve">Student Name:</w:t>
      </w:r>
      <w:r>
        <w:rPr>
          <w:rFonts w:ascii="Calibri" w:cs="Calibri" w:eastAsia="Calibri" w:hAnsi="Calibri"/>
          <w:color w:val="303832"/>
          <w:sz w:val="22"/>
          <w:szCs w:val="22"/>
        </w:rPr>
        <w:t xml:space="preserve"> ZEESHAAN SHAIKH</w:t>
      </w:r>
    </w:p>
    <w:p>
      <w:pPr>
        <w:pStyle w:val="ListParagraph"/>
        <w:numPr>
          <w:ilvl w:val="0"/>
          <w:numId w:val="1"/>
        </w:numPr>
        <w:spacing w:after="40" w:before="40" w:line="280"/>
      </w:pPr>
      <w:r>
        <w:rPr>
          <w:rFonts w:ascii="Calibri" w:cs="Calibri" w:eastAsia="Calibri" w:hAnsi="Calibri"/>
          <w:b/>
          <w:bCs/>
          <w:color w:val="234B38"/>
          <w:sz w:val="22"/>
          <w:szCs w:val="22"/>
        </w:rPr>
        <w:t xml:space="preserve">Seat No. / Roll No.:</w:t>
      </w:r>
      <w:r>
        <w:rPr>
          <w:rFonts w:ascii="Calibri" w:cs="Calibri" w:eastAsia="Calibri" w:hAnsi="Calibri"/>
          <w:color w:val="303832"/>
          <w:sz w:val="22"/>
          <w:szCs w:val="22"/>
        </w:rPr>
        <w:t xml:space="preserve"> 96</w:t>
      </w:r>
    </w:p>
    <w:p>
      <w:pPr>
        <w:pStyle w:val="ListParagraph"/>
        <w:numPr>
          <w:ilvl w:val="0"/>
          <w:numId w:val="1"/>
        </w:numPr>
        <w:spacing w:after="40" w:before="40" w:line="280"/>
      </w:pPr>
      <w:r>
        <w:rPr>
          <w:rFonts w:ascii="Calibri" w:cs="Calibri" w:eastAsia="Calibri" w:hAnsi="Calibri"/>
          <w:b/>
          <w:bCs/>
          <w:color w:val="234B38"/>
          <w:sz w:val="22"/>
          <w:szCs w:val="22"/>
        </w:rPr>
        <w:t xml:space="preserve">Email:</w:t>
      </w:r>
      <w:r>
        <w:rPr>
          <w:rFonts w:ascii="Calibri" w:cs="Calibri" w:eastAsia="Calibri" w:hAnsi="Calibri"/>
          <w:color w:val="303832"/>
          <w:sz w:val="22"/>
          <w:szCs w:val="22"/>
        </w:rPr>
        <w:t xml:space="preserve"> zeeshaan.shaikh.it@gmail.com</w:t>
      </w:r>
    </w:p>
    <w:p>
      <w:pPr>
        <w:pStyle w:val="ListParagraph"/>
        <w:numPr>
          <w:ilvl w:val="0"/>
          <w:numId w:val="1"/>
        </w:numPr>
        <w:spacing w:after="40" w:before="40" w:line="280"/>
      </w:pPr>
      <w:r>
        <w:rPr>
          <w:rFonts w:ascii="Calibri" w:cs="Calibri" w:eastAsia="Calibri" w:hAnsi="Calibri"/>
          <w:b/>
          <w:bCs/>
          <w:color w:val="234B38"/>
          <w:sz w:val="22"/>
          <w:szCs w:val="22"/>
        </w:rPr>
        <w:t xml:space="preserve">Department:</w:t>
      </w:r>
      <w:r>
        <w:rPr>
          <w:rFonts w:ascii="Calibri" w:cs="Calibri" w:eastAsia="Calibri" w:hAnsi="Calibri"/>
          <w:color w:val="303832"/>
          <w:sz w:val="22"/>
          <w:szCs w:val="22"/>
        </w:rPr>
        <w:t xml:space="preserve"> Information Technology</w:t>
      </w:r>
    </w:p>
    <w:p>
      <w:pPr>
        <w:pStyle w:val="ListParagraph"/>
        <w:numPr>
          <w:ilvl w:val="0"/>
          <w:numId w:val="1"/>
        </w:numPr>
        <w:spacing w:after="40" w:before="40" w:line="280"/>
      </w:pPr>
      <w:r>
        <w:rPr>
          <w:rFonts w:ascii="Calibri" w:cs="Calibri" w:eastAsia="Calibri" w:hAnsi="Calibri"/>
          <w:b/>
          <w:bCs/>
          <w:color w:val="234B38"/>
          <w:sz w:val="22"/>
          <w:szCs w:val="22"/>
        </w:rPr>
        <w:t xml:space="preserve">Name of the Mentor:</w:t>
      </w:r>
      <w:r>
        <w:rPr>
          <w:rFonts w:ascii="Calibri" w:cs="Calibri" w:eastAsia="Calibri" w:hAnsi="Calibri"/>
          <w:color w:val="303832"/>
          <w:sz w:val="22"/>
          <w:szCs w:val="22"/>
        </w:rPr>
        <w:t xml:space="preserve"> Ms. Kohinoor Khan</w:t>
      </w:r>
    </w:p>
    <w:p>
      <w:pPr>
        <w:pStyle w:val="ListParagraph"/>
        <w:numPr>
          <w:ilvl w:val="0"/>
          <w:numId w:val="1"/>
        </w:numPr>
        <w:spacing w:after="40" w:before="40" w:line="280"/>
      </w:pPr>
      <w:r>
        <w:rPr>
          <w:rFonts w:ascii="Calibri" w:cs="Calibri" w:eastAsia="Calibri" w:hAnsi="Calibri"/>
          <w:b/>
          <w:bCs/>
          <w:color w:val="234B38"/>
          <w:sz w:val="22"/>
          <w:szCs w:val="22"/>
        </w:rPr>
        <w:t xml:space="preserve">Title of Community Engagement Project:</w:t>
      </w:r>
      <w:r>
        <w:rPr>
          <w:rFonts w:ascii="Calibri" w:cs="Calibri" w:eastAsia="Calibri" w:hAnsi="Calibri"/>
          <w:color w:val="303832"/>
          <w:sz w:val="22"/>
          <w:szCs w:val="22"/>
        </w:rPr>
        <w:t xml:space="preserve"> Online Career guidance portal for underprivileged students (Udaan Portal)</w:t>
      </w:r>
    </w:p>
    <w:p>
      <w:pPr>
        <w:pStyle w:val="ListParagraph"/>
        <w:numPr>
          <w:ilvl w:val="0"/>
          <w:numId w:val="1"/>
        </w:numPr>
        <w:spacing w:after="40" w:before="40" w:line="280"/>
      </w:pPr>
      <w:r>
        <w:rPr>
          <w:rFonts w:ascii="Calibri" w:cs="Calibri" w:eastAsia="Calibri" w:hAnsi="Calibri"/>
          <w:b/>
          <w:bCs/>
          <w:color w:val="234B38"/>
          <w:sz w:val="22"/>
          <w:szCs w:val="22"/>
        </w:rPr>
        <w:t xml:space="preserve">Brief description of CEP carried out:</w:t>
      </w:r>
      <w:r>
        <w:rPr>
          <w:rFonts w:ascii="Calibri" w:cs="Calibri" w:eastAsia="Calibri" w:hAnsi="Calibri"/>
          <w:color w:val="303832"/>
          <w:sz w:val="22"/>
          <w:szCs w:val="22"/>
        </w:rPr>
        <w:t xml:space="preserve"> The Udaan Online Career Guidance Portal aims to bridge the digital and professional counselling divide for students studying in Classes 9-12, ITI, Polytechnic, and undergraduate courses from low-income households in Chembur, Govandi, Mankhurd, and broader Maharashtra. The project provides vernacular educational guidance (English, Hindi, Marathi), connects students with official government scholarships (MahaDBT and National Scholarship Portal), details low-cost government college fee pathways, provides an automated 6-step guided career quiz with affordable vocational alternatives, and enforces child safeguarding for mentor interactions.</w:t>
      </w:r>
    </w:p>
    <w:p>
      <w:pPr>
        <w:pStyle w:val="ListParagraph"/>
        <w:numPr>
          <w:ilvl w:val="0"/>
          <w:numId w:val="1"/>
        </w:numPr>
        <w:spacing w:after="40" w:before="40" w:line="280"/>
      </w:pPr>
      <w:r>
        <w:rPr>
          <w:rFonts w:ascii="Calibri" w:cs="Calibri" w:eastAsia="Calibri" w:hAnsi="Calibri"/>
          <w:b/>
          <w:bCs/>
          <w:color w:val="234B38"/>
          <w:sz w:val="22"/>
          <w:szCs w:val="22"/>
        </w:rPr>
        <w:t xml:space="preserve">Dates of CEP:</w:t>
      </w:r>
      <w:r>
        <w:rPr>
          <w:rFonts w:ascii="Calibri" w:cs="Calibri" w:eastAsia="Calibri" w:hAnsi="Calibri"/>
          <w:color w:val="303832"/>
          <w:sz w:val="22"/>
          <w:szCs w:val="22"/>
        </w:rPr>
        <w:t xml:space="preserve"> 01/08/2026 to 15/10/2026</w:t>
      </w:r>
    </w:p>
    <w:p>
      <w:pPr>
        <w:pStyle w:val="ListParagraph"/>
        <w:numPr>
          <w:ilvl w:val="0"/>
          <w:numId w:val="1"/>
        </w:numPr>
        <w:spacing w:after="40" w:before="40" w:line="280"/>
      </w:pPr>
      <w:r>
        <w:rPr>
          <w:rFonts w:ascii="Calibri" w:cs="Calibri" w:eastAsia="Calibri" w:hAnsi="Calibri"/>
          <w:b/>
          <w:bCs/>
          <w:color w:val="234B38"/>
          <w:sz w:val="22"/>
          <w:szCs w:val="22"/>
        </w:rPr>
        <w:t xml:space="preserve">Internship / Project related to major area of study:</w:t>
      </w:r>
      <w:r>
        <w:rPr>
          <w:rFonts w:ascii="Calibri" w:cs="Calibri" w:eastAsia="Calibri" w:hAnsi="Calibri"/>
          <w:color w:val="303832"/>
          <w:sz w:val="22"/>
          <w:szCs w:val="22"/>
        </w:rPr>
        <w:t xml:space="preserve"> Strongly Agree [✓]</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903"/>
        <w:gridCol w:w="903"/>
        <w:gridCol w:w="903"/>
        <w:gridCol w:w="903"/>
        <w:gridCol w:w="903"/>
      </w:tblGrid>
      <w:tr>
        <w:tc>
          <w:tcPr>
            <w:tcW w:type="pct" w:w="2500"/>
          </w:tcPr>
          <w:p>
            <w:pPr>
              <w:spacing w:after="60" w:before="60"/>
              <w:jc w:val="center"/>
            </w:pPr>
            <w:r>
              <w:rPr>
                <w:rFonts w:ascii="Calibri" w:cs="Calibri" w:eastAsia="Calibri" w:hAnsi="Calibri"/>
                <w:b/>
                <w:bCs/>
                <w:color w:val="234B38"/>
                <w:sz w:val="16"/>
                <w:szCs w:val="16"/>
              </w:rPr>
              <w:t xml:space="preserve">This experience has:</w:t>
            </w:r>
          </w:p>
        </w:tc>
        <w:tc>
          <w:tcPr>
            <w:tcW w:type="pct" w:w="500"/>
          </w:tcPr>
          <w:p>
            <w:pPr>
              <w:spacing w:after="60" w:before="60"/>
              <w:jc w:val="center"/>
            </w:pPr>
            <w:r>
              <w:rPr>
                <w:rFonts w:ascii="Calibri" w:cs="Calibri" w:eastAsia="Calibri" w:hAnsi="Calibri"/>
                <w:b/>
                <w:bCs/>
                <w:color w:val="234B38"/>
                <w:sz w:val="16"/>
                <w:szCs w:val="16"/>
              </w:rPr>
              <w:t xml:space="preserve">Strongly Agree</w:t>
            </w:r>
          </w:p>
        </w:tc>
        <w:tc>
          <w:tcPr>
            <w:tcW w:type="pct" w:w="500"/>
          </w:tcPr>
          <w:p>
            <w:pPr>
              <w:spacing w:after="60" w:before="60"/>
              <w:jc w:val="center"/>
            </w:pPr>
            <w:r>
              <w:rPr>
                <w:rFonts w:ascii="Calibri" w:cs="Calibri" w:eastAsia="Calibri" w:hAnsi="Calibri"/>
                <w:b/>
                <w:bCs/>
                <w:color w:val="234B38"/>
                <w:sz w:val="16"/>
                <w:szCs w:val="16"/>
              </w:rPr>
              <w:t xml:space="preserve">Agree</w:t>
            </w:r>
          </w:p>
        </w:tc>
        <w:tc>
          <w:tcPr>
            <w:tcW w:type="pct" w:w="500"/>
          </w:tcPr>
          <w:p>
            <w:pPr>
              <w:spacing w:after="60" w:before="60"/>
              <w:jc w:val="center"/>
            </w:pPr>
            <w:r>
              <w:rPr>
                <w:rFonts w:ascii="Calibri" w:cs="Calibri" w:eastAsia="Calibri" w:hAnsi="Calibri"/>
                <w:b/>
                <w:bCs/>
                <w:color w:val="234B38"/>
                <w:sz w:val="16"/>
                <w:szCs w:val="16"/>
              </w:rPr>
              <w:t xml:space="preserve">Neutral</w:t>
            </w:r>
          </w:p>
        </w:tc>
        <w:tc>
          <w:tcPr>
            <w:tcW w:type="pct" w:w="500"/>
          </w:tcPr>
          <w:p>
            <w:pPr>
              <w:spacing w:after="60" w:before="60"/>
              <w:jc w:val="center"/>
            </w:pPr>
            <w:r>
              <w:rPr>
                <w:rFonts w:ascii="Calibri" w:cs="Calibri" w:eastAsia="Calibri" w:hAnsi="Calibri"/>
                <w:b/>
                <w:bCs/>
                <w:color w:val="234B38"/>
                <w:sz w:val="16"/>
                <w:szCs w:val="16"/>
              </w:rPr>
              <w:t xml:space="preserve">Disagree</w:t>
            </w:r>
          </w:p>
        </w:tc>
        <w:tc>
          <w:tcPr>
            <w:tcW w:type="pct" w:w="500"/>
          </w:tcPr>
          <w:p>
            <w:pPr>
              <w:spacing w:after="60" w:before="60"/>
              <w:jc w:val="center"/>
            </w:pPr>
            <w:r>
              <w:rPr>
                <w:rFonts w:ascii="Calibri" w:cs="Calibri" w:eastAsia="Calibri" w:hAnsi="Calibri"/>
                <w:b/>
                <w:bCs/>
                <w:color w:val="234B38"/>
                <w:sz w:val="16"/>
                <w:szCs w:val="16"/>
              </w:rPr>
              <w:t xml:space="preserve">Strongly Disagree</w:t>
            </w:r>
          </w:p>
        </w:tc>
      </w:tr>
      <w:tr>
        <w:tc>
          <w:tcPr>
            <w:tcW w:type="pct" w:w="2500"/>
          </w:tcPr>
          <w:p>
            <w:pPr>
              <w:spacing w:after="60" w:before="60" w:line="300"/>
            </w:pPr>
            <w:r>
              <w:rPr>
                <w:rFonts w:ascii="Calibri" w:cs="Calibri" w:eastAsia="Calibri" w:hAnsi="Calibri"/>
                <w:color w:val="303832"/>
                <w:sz w:val="22"/>
                <w:szCs w:val="22"/>
              </w:rPr>
              <w:t xml:space="preserve">Has increased my sensitivity towards societal problems</w:t>
            </w:r>
          </w:p>
        </w:tc>
        <w:tc>
          <w:tcPr>
            <w:tcW w:type="pct" w:w="500"/>
          </w:tcPr>
          <w:p>
            <w:pPr>
              <w:spacing w:after="60" w:before="60"/>
              <w:jc w:val="center"/>
            </w:pPr>
            <w:r>
              <w:rPr>
                <w:rFonts w:ascii="Calibri" w:cs="Calibri" w:eastAsia="Calibri" w:hAnsi="Calibri"/>
                <w:b/>
                <w:bCs/>
                <w:color w:val="C66B4E"/>
                <w:sz w:val="18"/>
                <w:szCs w:val="18"/>
              </w:rPr>
              <w:t xml:space="preserve">✓</w:t>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r>
      <w:tr>
        <w:tc>
          <w:tcPr>
            <w:tcW w:type="pct" w:w="2500"/>
          </w:tcPr>
          <w:p>
            <w:pPr>
              <w:spacing w:after="60" w:before="60" w:line="300"/>
            </w:pPr>
            <w:r>
              <w:rPr>
                <w:rFonts w:ascii="Calibri" w:cs="Calibri" w:eastAsia="Calibri" w:hAnsi="Calibri"/>
                <w:color w:val="303832"/>
                <w:sz w:val="22"/>
                <w:szCs w:val="22"/>
              </w:rPr>
              <w:t xml:space="preserve">Given me the opportunity to explore a career field</w:t>
            </w:r>
          </w:p>
        </w:tc>
        <w:tc>
          <w:tcPr>
            <w:tcW w:type="pct" w:w="500"/>
          </w:tcPr>
          <w:p>
            <w:pPr>
              <w:spacing w:after="60" w:before="60"/>
              <w:jc w:val="center"/>
            </w:pPr>
            <w:r>
              <w:rPr>
                <w:rFonts w:ascii="Calibri" w:cs="Calibri" w:eastAsia="Calibri" w:hAnsi="Calibri"/>
                <w:b/>
                <w:bCs/>
                <w:color w:val="C66B4E"/>
                <w:sz w:val="18"/>
                <w:szCs w:val="18"/>
              </w:rPr>
              <w:t xml:space="preserve">✓</w:t>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r>
      <w:tr>
        <w:tc>
          <w:tcPr>
            <w:tcW w:type="pct" w:w="2500"/>
          </w:tcPr>
          <w:p>
            <w:pPr>
              <w:spacing w:after="60" w:before="60" w:line="300"/>
            </w:pPr>
            <w:r>
              <w:rPr>
                <w:rFonts w:ascii="Calibri" w:cs="Calibri" w:eastAsia="Calibri" w:hAnsi="Calibri"/>
                <w:color w:val="303832"/>
                <w:sz w:val="22"/>
                <w:szCs w:val="22"/>
              </w:rPr>
              <w:t xml:space="preserve">Allowed me to apply classroom theory to practice</w:t>
            </w:r>
          </w:p>
        </w:tc>
        <w:tc>
          <w:tcPr>
            <w:tcW w:type="pct" w:w="500"/>
          </w:tcPr>
          <w:p>
            <w:pPr>
              <w:spacing w:after="60" w:before="60"/>
              <w:jc w:val="center"/>
            </w:pPr>
            <w:r>
              <w:rPr>
                <w:rFonts w:ascii="Calibri" w:cs="Calibri" w:eastAsia="Calibri" w:hAnsi="Calibri"/>
                <w:b/>
                <w:bCs/>
                <w:color w:val="C66B4E"/>
                <w:sz w:val="18"/>
                <w:szCs w:val="18"/>
              </w:rPr>
              <w:t xml:space="preserve">✓</w:t>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r>
      <w:tr>
        <w:tc>
          <w:tcPr>
            <w:tcW w:type="pct" w:w="2500"/>
          </w:tcPr>
          <w:p>
            <w:pPr>
              <w:spacing w:after="60" w:before="60" w:line="300"/>
            </w:pPr>
            <w:r>
              <w:rPr>
                <w:rFonts w:ascii="Calibri" w:cs="Calibri" w:eastAsia="Calibri" w:hAnsi="Calibri"/>
                <w:color w:val="303832"/>
                <w:sz w:val="22"/>
                <w:szCs w:val="22"/>
              </w:rPr>
              <w:t xml:space="preserve">Helped me develop my decision-making and problem-solving skills</w:t>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w:t>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r>
      <w:tr>
        <w:tc>
          <w:tcPr>
            <w:tcW w:type="pct" w:w="2500"/>
          </w:tcPr>
          <w:p>
            <w:pPr>
              <w:spacing w:after="60" w:before="60" w:line="300"/>
            </w:pPr>
            <w:r>
              <w:rPr>
                <w:rFonts w:ascii="Calibri" w:cs="Calibri" w:eastAsia="Calibri" w:hAnsi="Calibri"/>
                <w:color w:val="303832"/>
                <w:sz w:val="22"/>
                <w:szCs w:val="22"/>
              </w:rPr>
              <w:t xml:space="preserve">Expanded my knowledge about the work world before permanent employment</w:t>
            </w:r>
          </w:p>
        </w:tc>
        <w:tc>
          <w:tcPr>
            <w:tcW w:type="pct" w:w="500"/>
          </w:tcPr>
          <w:p>
            <w:pPr>
              <w:spacing w:after="60" w:before="60"/>
              <w:jc w:val="center"/>
            </w:pPr>
            <w:r>
              <w:rPr>
                <w:rFonts w:ascii="Calibri" w:cs="Calibri" w:eastAsia="Calibri" w:hAnsi="Calibri"/>
                <w:b/>
                <w:bCs/>
                <w:color w:val="C66B4E"/>
                <w:sz w:val="18"/>
                <w:szCs w:val="18"/>
              </w:rPr>
              <w:t xml:space="preserve">✓</w:t>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r>
      <w:tr>
        <w:tc>
          <w:tcPr>
            <w:tcW w:type="pct" w:w="2500"/>
          </w:tcPr>
          <w:p>
            <w:pPr>
              <w:spacing w:after="60" w:before="60" w:line="300"/>
            </w:pPr>
            <w:r>
              <w:rPr>
                <w:rFonts w:ascii="Calibri" w:cs="Calibri" w:eastAsia="Calibri" w:hAnsi="Calibri"/>
                <w:color w:val="303832"/>
                <w:sz w:val="22"/>
                <w:szCs w:val="22"/>
              </w:rPr>
              <w:t xml:space="preserve">Helped me develop my written and oral communication skills</w:t>
            </w:r>
          </w:p>
        </w:tc>
        <w:tc>
          <w:tcPr>
            <w:tcW w:type="pct" w:w="500"/>
          </w:tcPr>
          <w:p>
            <w:pPr>
              <w:spacing w:after="60" w:before="60"/>
              <w:jc w:val="center"/>
            </w:pPr>
            <w:r>
              <w:rPr>
                <w:rFonts w:ascii="Calibri" w:cs="Calibri" w:eastAsia="Calibri" w:hAnsi="Calibri"/>
                <w:b/>
                <w:bCs/>
                <w:color w:val="C66B4E"/>
                <w:sz w:val="18"/>
                <w:szCs w:val="18"/>
              </w:rPr>
              <w:t xml:space="preserve">✓</w:t>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r>
      <w:tr>
        <w:tc>
          <w:tcPr>
            <w:tcW w:type="pct" w:w="2500"/>
          </w:tcPr>
          <w:p>
            <w:pPr>
              <w:spacing w:after="60" w:before="60" w:line="300"/>
            </w:pPr>
            <w:r>
              <w:rPr>
                <w:rFonts w:ascii="Calibri" w:cs="Calibri" w:eastAsia="Calibri" w:hAnsi="Calibri"/>
                <w:color w:val="303832"/>
                <w:sz w:val="22"/>
                <w:szCs w:val="22"/>
              </w:rPr>
              <w:t xml:space="preserve">Provided a chance to use leadership skills (influence others, develop ideas)</w:t>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w:t>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r>
      <w:tr>
        <w:tc>
          <w:tcPr>
            <w:tcW w:type="pct" w:w="2500"/>
          </w:tcPr>
          <w:p>
            <w:pPr>
              <w:spacing w:after="60" w:before="60" w:line="300"/>
            </w:pPr>
            <w:r>
              <w:rPr>
                <w:rFonts w:ascii="Calibri" w:cs="Calibri" w:eastAsia="Calibri" w:hAnsi="Calibri"/>
                <w:color w:val="303832"/>
                <w:sz w:val="22"/>
                <w:szCs w:val="22"/>
              </w:rPr>
              <w:t xml:space="preserve">Expanded my sensitivity to the ethical implications of the work involved</w:t>
            </w:r>
          </w:p>
        </w:tc>
        <w:tc>
          <w:tcPr>
            <w:tcW w:type="pct" w:w="500"/>
          </w:tcPr>
          <w:p>
            <w:pPr>
              <w:spacing w:after="60" w:before="60"/>
              <w:jc w:val="center"/>
            </w:pPr>
            <w:r>
              <w:rPr>
                <w:rFonts w:ascii="Calibri" w:cs="Calibri" w:eastAsia="Calibri" w:hAnsi="Calibri"/>
                <w:b/>
                <w:bCs/>
                <w:color w:val="C66B4E"/>
                <w:sz w:val="18"/>
                <w:szCs w:val="18"/>
              </w:rPr>
              <w:t xml:space="preserve">✓</w:t>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r>
      <w:tr>
        <w:tc>
          <w:tcPr>
            <w:tcW w:type="pct" w:w="2500"/>
          </w:tcPr>
          <w:p>
            <w:pPr>
              <w:spacing w:after="60" w:before="60" w:line="300"/>
            </w:pPr>
            <w:r>
              <w:rPr>
                <w:rFonts w:ascii="Calibri" w:cs="Calibri" w:eastAsia="Calibri" w:hAnsi="Calibri"/>
                <w:color w:val="303832"/>
                <w:sz w:val="22"/>
                <w:szCs w:val="22"/>
              </w:rPr>
              <w:t xml:space="preserve">Made it possible for me to be more confident in new situations</w:t>
            </w:r>
          </w:p>
        </w:tc>
        <w:tc>
          <w:tcPr>
            <w:tcW w:type="pct" w:w="500"/>
          </w:tcPr>
          <w:p>
            <w:pPr>
              <w:spacing w:after="60" w:before="60"/>
              <w:jc w:val="center"/>
            </w:pPr>
            <w:r>
              <w:rPr>
                <w:rFonts w:ascii="Calibri" w:cs="Calibri" w:eastAsia="Calibri" w:hAnsi="Calibri"/>
                <w:b/>
                <w:bCs/>
                <w:color w:val="C66B4E"/>
                <w:sz w:val="18"/>
                <w:szCs w:val="18"/>
              </w:rPr>
              <w:t xml:space="preserve">✓</w:t>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r>
      <w:tr>
        <w:tc>
          <w:tcPr>
            <w:tcW w:type="pct" w:w="2500"/>
          </w:tcPr>
          <w:p>
            <w:pPr>
              <w:spacing w:after="60" w:before="60" w:line="300"/>
            </w:pPr>
            <w:r>
              <w:rPr>
                <w:rFonts w:ascii="Calibri" w:cs="Calibri" w:eastAsia="Calibri" w:hAnsi="Calibri"/>
                <w:color w:val="303832"/>
                <w:sz w:val="22"/>
                <w:szCs w:val="22"/>
              </w:rPr>
              <w:t xml:space="preserve">Given me a chance to improve my interpersonal skills</w:t>
            </w:r>
          </w:p>
        </w:tc>
        <w:tc>
          <w:tcPr>
            <w:tcW w:type="pct" w:w="500"/>
          </w:tcPr>
          <w:p>
            <w:pPr>
              <w:spacing w:after="60" w:before="60"/>
              <w:jc w:val="center"/>
            </w:pPr>
            <w:r>
              <w:rPr>
                <w:rFonts w:ascii="Calibri" w:cs="Calibri" w:eastAsia="Calibri" w:hAnsi="Calibri"/>
                <w:b/>
                <w:bCs/>
                <w:color w:val="C66B4E"/>
                <w:sz w:val="18"/>
                <w:szCs w:val="18"/>
              </w:rPr>
              <w:t xml:space="preserve">✓</w:t>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r>
      <w:tr>
        <w:tc>
          <w:tcPr>
            <w:tcW w:type="pct" w:w="2500"/>
          </w:tcPr>
          <w:p>
            <w:pPr>
              <w:spacing w:after="60" w:before="60" w:line="300"/>
            </w:pPr>
            <w:r>
              <w:rPr>
                <w:rFonts w:ascii="Calibri" w:cs="Calibri" w:eastAsia="Calibri" w:hAnsi="Calibri"/>
                <w:color w:val="303832"/>
                <w:sz w:val="22"/>
                <w:szCs w:val="22"/>
              </w:rPr>
              <w:t xml:space="preserve">Helped me learn to handle responsibility and use my time wisely</w:t>
            </w:r>
          </w:p>
        </w:tc>
        <w:tc>
          <w:tcPr>
            <w:tcW w:type="pct" w:w="500"/>
          </w:tcPr>
          <w:p>
            <w:pPr>
              <w:spacing w:after="60" w:before="60"/>
              <w:jc w:val="center"/>
            </w:pPr>
            <w:r>
              <w:rPr>
                <w:rFonts w:ascii="Calibri" w:cs="Calibri" w:eastAsia="Calibri" w:hAnsi="Calibri"/>
                <w:b/>
                <w:bCs/>
                <w:color w:val="C66B4E"/>
                <w:sz w:val="18"/>
                <w:szCs w:val="18"/>
              </w:rPr>
              <w:t xml:space="preserve">✓</w:t>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r>
      <w:tr>
        <w:tc>
          <w:tcPr>
            <w:tcW w:type="pct" w:w="2500"/>
          </w:tcPr>
          <w:p>
            <w:pPr>
              <w:spacing w:after="60" w:before="60" w:line="300"/>
            </w:pPr>
            <w:r>
              <w:rPr>
                <w:rFonts w:ascii="Calibri" w:cs="Calibri" w:eastAsia="Calibri" w:hAnsi="Calibri"/>
                <w:color w:val="303832"/>
                <w:sz w:val="22"/>
                <w:szCs w:val="22"/>
              </w:rPr>
              <w:t xml:space="preserve">Helped me discover new aspects of myself that I didn’t know existed</w:t>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w:t>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r>
      <w:tr>
        <w:tc>
          <w:tcPr>
            <w:tcW w:type="pct" w:w="2500"/>
          </w:tcPr>
          <w:p>
            <w:pPr>
              <w:spacing w:after="60" w:before="60" w:line="300"/>
            </w:pPr>
            <w:r>
              <w:rPr>
                <w:rFonts w:ascii="Calibri" w:cs="Calibri" w:eastAsia="Calibri" w:hAnsi="Calibri"/>
                <w:color w:val="303832"/>
                <w:sz w:val="22"/>
                <w:szCs w:val="22"/>
              </w:rPr>
              <w:t xml:space="preserve">Helped me develop new interests and technical abilities</w:t>
            </w:r>
          </w:p>
        </w:tc>
        <w:tc>
          <w:tcPr>
            <w:tcW w:type="pct" w:w="500"/>
          </w:tcPr>
          <w:p>
            <w:pPr>
              <w:spacing w:after="60" w:before="60"/>
              <w:jc w:val="center"/>
            </w:pPr>
            <w:r>
              <w:rPr>
                <w:rFonts w:ascii="Calibri" w:cs="Calibri" w:eastAsia="Calibri" w:hAnsi="Calibri"/>
                <w:b/>
                <w:bCs/>
                <w:color w:val="C66B4E"/>
                <w:sz w:val="18"/>
                <w:szCs w:val="18"/>
              </w:rPr>
              <w:t xml:space="preserve">✓</w:t>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r>
      <w:tr>
        <w:tc>
          <w:tcPr>
            <w:tcW w:type="pct" w:w="2500"/>
          </w:tcPr>
          <w:p>
            <w:pPr>
              <w:spacing w:after="60" w:before="60" w:line="300"/>
            </w:pPr>
            <w:r>
              <w:rPr>
                <w:rFonts w:ascii="Calibri" w:cs="Calibri" w:eastAsia="Calibri" w:hAnsi="Calibri"/>
                <w:color w:val="303832"/>
                <w:sz w:val="22"/>
                <w:szCs w:val="22"/>
              </w:rPr>
              <w:t xml:space="preserve">Helped me clarify my career goals</w:t>
            </w:r>
          </w:p>
        </w:tc>
        <w:tc>
          <w:tcPr>
            <w:tcW w:type="pct" w:w="500"/>
          </w:tcPr>
          <w:p>
            <w:pPr>
              <w:spacing w:after="60" w:before="60"/>
              <w:jc w:val="center"/>
            </w:pPr>
            <w:r>
              <w:rPr>
                <w:rFonts w:ascii="Calibri" w:cs="Calibri" w:eastAsia="Calibri" w:hAnsi="Calibri"/>
                <w:b/>
                <w:bCs/>
                <w:color w:val="C66B4E"/>
                <w:sz w:val="18"/>
                <w:szCs w:val="18"/>
              </w:rPr>
              <w:t xml:space="preserve">✓</w:t>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r>
      <w:tr>
        <w:tc>
          <w:tcPr>
            <w:tcW w:type="pct" w:w="2500"/>
          </w:tcPr>
          <w:p>
            <w:pPr>
              <w:spacing w:after="60" w:before="60" w:line="300"/>
            </w:pPr>
            <w:r>
              <w:rPr>
                <w:rFonts w:ascii="Calibri" w:cs="Calibri" w:eastAsia="Calibri" w:hAnsi="Calibri"/>
                <w:color w:val="303832"/>
                <w:sz w:val="22"/>
                <w:szCs w:val="22"/>
              </w:rPr>
              <w:t xml:space="preserve">Allowed me to acquire information/equipment not available at my Institute</w:t>
            </w:r>
          </w:p>
        </w:tc>
        <w:tc>
          <w:tcPr>
            <w:tcW w:type="pct" w:w="500"/>
          </w:tcPr>
          <w:p>
            <w:pPr>
              <w:spacing w:after="60" w:before="60"/>
              <w:jc w:val="center"/>
            </w:pPr>
            <w:r>
              <w:rPr>
                <w:rFonts w:ascii="Calibri" w:cs="Calibri" w:eastAsia="Calibri" w:hAnsi="Calibri"/>
                <w:b/>
                <w:bCs/>
                <w:color w:val="C66B4E"/>
                <w:sz w:val="18"/>
                <w:szCs w:val="18"/>
              </w:rPr>
              <w:t xml:space="preserve">✓</w:t>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r>
      <w:tr>
        <w:tc>
          <w:tcPr>
            <w:tcW w:type="pct" w:w="2500"/>
          </w:tcPr>
          <w:p>
            <w:pPr>
              <w:spacing w:after="60" w:before="60" w:line="300"/>
            </w:pPr>
            <w:r>
              <w:rPr>
                <w:rFonts w:ascii="Calibri" w:cs="Calibri" w:eastAsia="Calibri" w:hAnsi="Calibri"/>
                <w:color w:val="303832"/>
                <w:sz w:val="22"/>
                <w:szCs w:val="22"/>
              </w:rPr>
              <w:t xml:space="preserve">Allowed me to realize socio-economic issues in the society</w:t>
            </w:r>
          </w:p>
        </w:tc>
        <w:tc>
          <w:tcPr>
            <w:tcW w:type="pct" w:w="500"/>
          </w:tcPr>
          <w:p>
            <w:pPr>
              <w:spacing w:after="60" w:before="60"/>
              <w:jc w:val="center"/>
            </w:pPr>
            <w:r>
              <w:rPr>
                <w:rFonts w:ascii="Calibri" w:cs="Calibri" w:eastAsia="Calibri" w:hAnsi="Calibri"/>
                <w:b/>
                <w:bCs/>
                <w:color w:val="C66B4E"/>
                <w:sz w:val="18"/>
                <w:szCs w:val="18"/>
              </w:rPr>
              <w:t xml:space="preserve">✓</w:t>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c>
          <w:tcPr>
            <w:tcW w:type="pct" w:w="500"/>
          </w:tcPr>
          <w:p>
            <w:pPr>
              <w:spacing w:after="60" w:before="60"/>
              <w:jc w:val="center"/>
            </w:pPr>
            <w:r>
              <w:rPr>
                <w:rFonts w:ascii="Calibri" w:cs="Calibri" w:eastAsia="Calibri" w:hAnsi="Calibri"/>
                <w:b/>
                <w:bCs/>
                <w:color w:val="C66B4E"/>
                <w:sz w:val="18"/>
                <w:szCs w:val="18"/>
              </w:rPr>
              <w:t xml:space="preserve"/>
            </w:r>
          </w:p>
        </w:tc>
      </w:tr>
    </w:tbl>
    <w:p>
      <w:pPr>
        <w:spacing w:after="60" w:before="120"/>
      </w:pPr>
    </w:p>
    <w:p>
      <w:pPr>
        <w:pStyle w:val="ListParagraph"/>
        <w:numPr>
          <w:ilvl w:val="0"/>
          <w:numId w:val="1"/>
        </w:numPr>
        <w:spacing w:after="40" w:before="40" w:line="280"/>
      </w:pPr>
      <w:r>
        <w:rPr>
          <w:rFonts w:ascii="Calibri" w:cs="Calibri" w:eastAsia="Calibri" w:hAnsi="Calibri"/>
          <w:b/>
          <w:bCs/>
          <w:color w:val="234B38"/>
          <w:sz w:val="22"/>
          <w:szCs w:val="22"/>
        </w:rPr>
        <w:t xml:space="preserve">The faculty mentor extended guidance and mentoring throughout:</w:t>
      </w:r>
      <w:r>
        <w:rPr>
          <w:rFonts w:ascii="Calibri" w:cs="Calibri" w:eastAsia="Calibri" w:hAnsi="Calibri"/>
          <w:color w:val="303832"/>
          <w:sz w:val="22"/>
          <w:szCs w:val="22"/>
        </w:rPr>
        <w:t xml:space="preserve"> Strongly Agree [✓]</w:t>
      </w:r>
    </w:p>
    <w:p>
      <w:pPr>
        <w:pStyle w:val="ListParagraph"/>
        <w:numPr>
          <w:ilvl w:val="0"/>
          <w:numId w:val="1"/>
        </w:numPr>
        <w:spacing w:after="40" w:before="40" w:line="280"/>
      </w:pPr>
      <w:r>
        <w:rPr>
          <w:rFonts w:ascii="Calibri" w:cs="Calibri" w:eastAsia="Calibri" w:hAnsi="Calibri"/>
          <w:b/>
          <w:bCs/>
          <w:color w:val="234B38"/>
          <w:sz w:val="22"/>
          <w:szCs w:val="22"/>
        </w:rPr>
        <w:t xml:space="preserve">Able to accomplish initial goals, tasks and new skills in CEP plan:</w:t>
      </w:r>
      <w:r>
        <w:rPr>
          <w:rFonts w:ascii="Calibri" w:cs="Calibri" w:eastAsia="Calibri" w:hAnsi="Calibri"/>
          <w:color w:val="303832"/>
          <w:sz w:val="22"/>
          <w:szCs w:val="22"/>
        </w:rPr>
        <w:t xml:space="preserve"> Strongly Agree [✓]</w:t>
      </w:r>
    </w:p>
    <w:p>
      <w:pPr>
        <w:pStyle w:val="ListParagraph"/>
        <w:numPr>
          <w:ilvl w:val="0"/>
          <w:numId w:val="1"/>
        </w:numPr>
        <w:spacing w:after="40" w:before="40" w:line="280"/>
      </w:pPr>
      <w:r>
        <w:rPr>
          <w:rFonts w:ascii="Calibri" w:cs="Calibri" w:eastAsia="Calibri" w:hAnsi="Calibri"/>
          <w:b/>
          <w:bCs/>
          <w:color w:val="234B38"/>
          <w:sz w:val="22"/>
          <w:szCs w:val="22"/>
        </w:rPr>
        <w:t xml:space="preserve">Overall rating of this CEP:</w:t>
      </w:r>
      <w:r>
        <w:rPr>
          <w:rFonts w:ascii="Calibri" w:cs="Calibri" w:eastAsia="Calibri" w:hAnsi="Calibri"/>
          <w:color w:val="303832"/>
          <w:sz w:val="22"/>
          <w:szCs w:val="22"/>
        </w:rPr>
        <w:t xml:space="preserve"> Excellent [✓]</w:t>
      </w:r>
    </w:p>
    <w:p>
      <w:pPr>
        <w:pageBreakBefore/>
      </w:pPr>
    </w:p>
    <w:p>
      <w:pPr>
        <w:spacing w:after="120" w:before="200"/>
        <w:jc w:val="center"/>
      </w:pPr>
      <w:r>
        <w:rPr>
          <w:rFonts w:ascii="Calibri" w:cs="Calibri" w:eastAsia="Calibri" w:hAnsi="Calibri"/>
          <w:b/>
          <w:bCs/>
          <w:color w:val="234B38"/>
          <w:sz w:val="28"/>
          <w:szCs w:val="28"/>
        </w:rPr>
        <w:t xml:space="preserve">TABLE OF CONTENTS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354"/>
        <w:gridCol w:w="4964"/>
        <w:gridCol w:w="1354"/>
        <w:gridCol w:w="1354"/>
      </w:tblGrid>
      <w:tr>
        <w:tc>
          <w:tcPr>
            <w:tcW w:type="pct" w:w="750"/>
          </w:tcPr>
          <w:p>
            <w:pPr>
              <w:spacing w:after="60" w:before="60"/>
              <w:jc w:val="center"/>
            </w:pPr>
            <w:r>
              <w:rPr>
                <w:rFonts w:ascii="Calibri" w:cs="Calibri" w:eastAsia="Calibri" w:hAnsi="Calibri"/>
                <w:b/>
                <w:bCs/>
                <w:color w:val="234B38"/>
                <w:sz w:val="16"/>
                <w:szCs w:val="16"/>
              </w:rPr>
              <w:t xml:space="preserve">Sr. No.</w:t>
            </w:r>
          </w:p>
        </w:tc>
        <w:tc>
          <w:tcPr>
            <w:tcW w:type="pct" w:w="2750"/>
          </w:tcPr>
          <w:p>
            <w:pPr>
              <w:spacing w:after="60" w:before="60"/>
              <w:jc w:val="center"/>
            </w:pPr>
            <w:r>
              <w:rPr>
                <w:rFonts w:ascii="Calibri" w:cs="Calibri" w:eastAsia="Calibri" w:hAnsi="Calibri"/>
                <w:b/>
                <w:bCs/>
                <w:color w:val="234B38"/>
                <w:sz w:val="16"/>
                <w:szCs w:val="16"/>
              </w:rPr>
              <w:t xml:space="preserve">Topic / Chapter Title</w:t>
            </w:r>
          </w:p>
        </w:tc>
        <w:tc>
          <w:tcPr>
            <w:tcW w:type="pct" w:w="750"/>
          </w:tcPr>
          <w:p>
            <w:pPr>
              <w:spacing w:after="60" w:before="60"/>
              <w:jc w:val="center"/>
            </w:pPr>
            <w:r>
              <w:rPr>
                <w:rFonts w:ascii="Calibri" w:cs="Calibri" w:eastAsia="Calibri" w:hAnsi="Calibri"/>
                <w:b/>
                <w:bCs/>
                <w:color w:val="234B38"/>
                <w:sz w:val="16"/>
                <w:szCs w:val="16"/>
              </w:rPr>
              <w:t xml:space="preserve">Page Range</w:t>
            </w:r>
          </w:p>
        </w:tc>
        <w:tc>
          <w:tcPr>
            <w:tcW w:type="pct" w:w="750"/>
          </w:tcPr>
          <w:p>
            <w:pPr>
              <w:spacing w:after="60" w:before="60"/>
              <w:jc w:val="center"/>
            </w:pPr>
            <w:r>
              <w:rPr>
                <w:rFonts w:ascii="Calibri" w:cs="Calibri" w:eastAsia="Calibri" w:hAnsi="Calibri"/>
                <w:b/>
                <w:bCs/>
                <w:color w:val="234B38"/>
                <w:sz w:val="16"/>
                <w:szCs w:val="16"/>
              </w:rPr>
              <w:t xml:space="preserve">Guide Sign</w:t>
            </w:r>
          </w:p>
        </w:tc>
      </w:tr>
      <w:tr>
        <w:tc>
          <w:tcPr>
            <w:tcW w:type="pct" w:w="750"/>
          </w:tcPr>
          <w:p>
            <w:pPr>
              <w:spacing w:after="60" w:before="60"/>
              <w:jc w:val="center"/>
            </w:pPr>
            <w:r>
              <w:rPr>
                <w:rFonts w:ascii="Calibri" w:cs="Calibri" w:eastAsia="Calibri" w:hAnsi="Calibri"/>
                <w:b/>
                <w:bCs/>
                <w:color w:val="303832"/>
                <w:sz w:val="16"/>
                <w:szCs w:val="16"/>
              </w:rPr>
              <w:t xml:space="preserve">1</w:t>
            </w:r>
          </w:p>
        </w:tc>
        <w:tc>
          <w:tcPr>
            <w:tcW w:type="pct" w:w="2750"/>
          </w:tcPr>
          <w:p>
            <w:pPr>
              <w:spacing w:after="60" w:before="60" w:line="300"/>
            </w:pPr>
            <w:r>
              <w:rPr>
                <w:rFonts w:ascii="Calibri" w:cs="Calibri" w:eastAsia="Calibri" w:hAnsi="Calibri"/>
                <w:color w:val="303832"/>
                <w:sz w:val="22"/>
                <w:szCs w:val="22"/>
              </w:rPr>
              <w:t xml:space="preserve">INTRODUCTION (Document Observation)</w:t>
            </w:r>
          </w:p>
        </w:tc>
        <w:tc>
          <w:tcPr>
            <w:tcW w:type="pct" w:w="750"/>
          </w:tcPr>
          <w:p>
            <w:pPr>
              <w:spacing w:after="60" w:before="60"/>
              <w:jc w:val="center"/>
            </w:pPr>
            <w:r>
              <w:rPr>
                <w:rFonts w:ascii="Calibri" w:cs="Calibri" w:eastAsia="Calibri" w:hAnsi="Calibri"/>
                <w:b w:val="false"/>
                <w:bCs w:val="false"/>
                <w:color w:val="303832"/>
                <w:sz w:val="16"/>
                <w:szCs w:val="16"/>
              </w:rPr>
              <w:t xml:space="preserve">1 - 5</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
            </w:r>
          </w:p>
        </w:tc>
        <w:tc>
          <w:tcPr>
            <w:tcW w:type="pct" w:w="2750"/>
          </w:tcPr>
          <w:p>
            <w:pPr>
              <w:spacing w:after="60" w:before="60" w:line="300"/>
            </w:pPr>
            <w:r>
              <w:rPr>
                <w:rFonts w:ascii="Calibri" w:cs="Calibri" w:eastAsia="Calibri" w:hAnsi="Calibri"/>
                <w:color w:val="303832"/>
                <w:sz w:val="22"/>
                <w:szCs w:val="22"/>
              </w:rPr>
              <w:t xml:space="preserve">1.1 Existing System</w:t>
            </w:r>
          </w:p>
        </w:tc>
        <w:tc>
          <w:tcPr>
            <w:tcW w:type="pct" w:w="750"/>
          </w:tcPr>
          <w:p>
            <w:pPr>
              <w:spacing w:after="60" w:before="60"/>
              <w:jc w:val="center"/>
            </w:pPr>
            <w:r>
              <w:rPr>
                <w:rFonts w:ascii="Calibri" w:cs="Calibri" w:eastAsia="Calibri" w:hAnsi="Calibri"/>
                <w:b w:val="false"/>
                <w:bCs w:val="false"/>
                <w:color w:val="303832"/>
                <w:sz w:val="16"/>
                <w:szCs w:val="16"/>
              </w:rPr>
              <w:t xml:space="preserve">1 - 2</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
            </w:r>
          </w:p>
        </w:tc>
        <w:tc>
          <w:tcPr>
            <w:tcW w:type="pct" w:w="2750"/>
          </w:tcPr>
          <w:p>
            <w:pPr>
              <w:spacing w:after="60" w:before="60" w:line="300"/>
            </w:pPr>
            <w:r>
              <w:rPr>
                <w:rFonts w:ascii="Calibri" w:cs="Calibri" w:eastAsia="Calibri" w:hAnsi="Calibri"/>
                <w:color w:val="303832"/>
                <w:sz w:val="22"/>
                <w:szCs w:val="22"/>
              </w:rPr>
              <w:t xml:space="preserve">1.2 Proposed System (Udaan Portal)</w:t>
            </w:r>
          </w:p>
        </w:tc>
        <w:tc>
          <w:tcPr>
            <w:tcW w:type="pct" w:w="750"/>
          </w:tcPr>
          <w:p>
            <w:pPr>
              <w:spacing w:after="60" w:before="60"/>
              <w:jc w:val="center"/>
            </w:pPr>
            <w:r>
              <w:rPr>
                <w:rFonts w:ascii="Calibri" w:cs="Calibri" w:eastAsia="Calibri" w:hAnsi="Calibri"/>
                <w:b w:val="false"/>
                <w:bCs w:val="false"/>
                <w:color w:val="303832"/>
                <w:sz w:val="16"/>
                <w:szCs w:val="16"/>
              </w:rPr>
              <w:t xml:space="preserve">2 - 3</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
            </w:r>
          </w:p>
        </w:tc>
        <w:tc>
          <w:tcPr>
            <w:tcW w:type="pct" w:w="2750"/>
          </w:tcPr>
          <w:p>
            <w:pPr>
              <w:spacing w:after="60" w:before="60" w:line="300"/>
            </w:pPr>
            <w:r>
              <w:rPr>
                <w:rFonts w:ascii="Calibri" w:cs="Calibri" w:eastAsia="Calibri" w:hAnsi="Calibri"/>
                <w:color w:val="303832"/>
                <w:sz w:val="22"/>
                <w:szCs w:val="22"/>
              </w:rPr>
              <w:t xml:space="preserve">1.3 Normal Photos &amp; Geotag Photos (Fieldwork &amp; Community Demos)</w:t>
            </w:r>
          </w:p>
        </w:tc>
        <w:tc>
          <w:tcPr>
            <w:tcW w:type="pct" w:w="750"/>
          </w:tcPr>
          <w:p>
            <w:pPr>
              <w:spacing w:after="60" w:before="60"/>
              <w:jc w:val="center"/>
            </w:pPr>
            <w:r>
              <w:rPr>
                <w:rFonts w:ascii="Calibri" w:cs="Calibri" w:eastAsia="Calibri" w:hAnsi="Calibri"/>
                <w:b w:val="false"/>
                <w:bCs w:val="false"/>
                <w:color w:val="303832"/>
                <w:sz w:val="16"/>
                <w:szCs w:val="16"/>
              </w:rPr>
              <w:t xml:space="preserve">3 - 4</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
            </w:r>
          </w:p>
        </w:tc>
        <w:tc>
          <w:tcPr>
            <w:tcW w:type="pct" w:w="2750"/>
          </w:tcPr>
          <w:p>
            <w:pPr>
              <w:spacing w:after="60" w:before="60" w:line="300"/>
            </w:pPr>
            <w:r>
              <w:rPr>
                <w:rFonts w:ascii="Calibri" w:cs="Calibri" w:eastAsia="Calibri" w:hAnsi="Calibri"/>
                <w:color w:val="303832"/>
                <w:sz w:val="22"/>
                <w:szCs w:val="22"/>
              </w:rPr>
              <w:t xml:space="preserve">1.4 Key Findings</w:t>
            </w:r>
          </w:p>
        </w:tc>
        <w:tc>
          <w:tcPr>
            <w:tcW w:type="pct" w:w="750"/>
          </w:tcPr>
          <w:p>
            <w:pPr>
              <w:spacing w:after="60" w:before="60"/>
              <w:jc w:val="center"/>
            </w:pPr>
            <w:r>
              <w:rPr>
                <w:rFonts w:ascii="Calibri" w:cs="Calibri" w:eastAsia="Calibri" w:hAnsi="Calibri"/>
                <w:b w:val="false"/>
                <w:bCs w:val="false"/>
                <w:color w:val="303832"/>
                <w:sz w:val="16"/>
                <w:szCs w:val="16"/>
              </w:rPr>
              <w:t xml:space="preserve">5</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2</w:t>
            </w:r>
          </w:p>
        </w:tc>
        <w:tc>
          <w:tcPr>
            <w:tcW w:type="pct" w:w="2750"/>
          </w:tcPr>
          <w:p>
            <w:pPr>
              <w:spacing w:after="60" w:before="60" w:line="300"/>
            </w:pPr>
            <w:r>
              <w:rPr>
                <w:rFonts w:ascii="Calibri" w:cs="Calibri" w:eastAsia="Calibri" w:hAnsi="Calibri"/>
                <w:color w:val="303832"/>
                <w:sz w:val="22"/>
                <w:szCs w:val="22"/>
              </w:rPr>
              <w:t xml:space="preserve">LITERATURE REVIEW (Project Planning &amp; Design Document)</w:t>
            </w:r>
          </w:p>
        </w:tc>
        <w:tc>
          <w:tcPr>
            <w:tcW w:type="pct" w:w="750"/>
          </w:tcPr>
          <w:p>
            <w:pPr>
              <w:spacing w:after="60" w:before="60"/>
              <w:jc w:val="center"/>
            </w:pPr>
            <w:r>
              <w:rPr>
                <w:rFonts w:ascii="Calibri" w:cs="Calibri" w:eastAsia="Calibri" w:hAnsi="Calibri"/>
                <w:b w:val="false"/>
                <w:bCs w:val="false"/>
                <w:color w:val="303832"/>
                <w:sz w:val="16"/>
                <w:szCs w:val="16"/>
              </w:rPr>
              <w:t xml:space="preserve">6 - 10</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
            </w:r>
          </w:p>
        </w:tc>
        <w:tc>
          <w:tcPr>
            <w:tcW w:type="pct" w:w="2750"/>
          </w:tcPr>
          <w:p>
            <w:pPr>
              <w:spacing w:after="60" w:before="60" w:line="300"/>
            </w:pPr>
            <w:r>
              <w:rPr>
                <w:rFonts w:ascii="Calibri" w:cs="Calibri" w:eastAsia="Calibri" w:hAnsi="Calibri"/>
                <w:color w:val="303832"/>
                <w:sz w:val="22"/>
                <w:szCs w:val="22"/>
              </w:rPr>
              <w:t xml:space="preserve">2.1 Survey of Technology (Hardware &amp; Software Requirements)</w:t>
            </w:r>
          </w:p>
        </w:tc>
        <w:tc>
          <w:tcPr>
            <w:tcW w:type="pct" w:w="750"/>
          </w:tcPr>
          <w:p>
            <w:pPr>
              <w:spacing w:after="60" w:before="60"/>
              <w:jc w:val="center"/>
            </w:pPr>
            <w:r>
              <w:rPr>
                <w:rFonts w:ascii="Calibri" w:cs="Calibri" w:eastAsia="Calibri" w:hAnsi="Calibri"/>
                <w:b w:val="false"/>
                <w:bCs w:val="false"/>
                <w:color w:val="303832"/>
                <w:sz w:val="16"/>
                <w:szCs w:val="16"/>
              </w:rPr>
              <w:t xml:space="preserve">6 - 7</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
            </w:r>
          </w:p>
        </w:tc>
        <w:tc>
          <w:tcPr>
            <w:tcW w:type="pct" w:w="2750"/>
          </w:tcPr>
          <w:p>
            <w:pPr>
              <w:spacing w:after="60" w:before="60" w:line="300"/>
            </w:pPr>
            <w:r>
              <w:rPr>
                <w:rFonts w:ascii="Calibri" w:cs="Calibri" w:eastAsia="Calibri" w:hAnsi="Calibri"/>
                <w:color w:val="303832"/>
                <w:sz w:val="22"/>
                <w:szCs w:val="22"/>
              </w:rPr>
              <w:t xml:space="preserve">2.2 Interview Questions (Community &amp; Underprivileged Student Survey)</w:t>
            </w:r>
          </w:p>
        </w:tc>
        <w:tc>
          <w:tcPr>
            <w:tcW w:type="pct" w:w="750"/>
          </w:tcPr>
          <w:p>
            <w:pPr>
              <w:spacing w:after="60" w:before="60"/>
              <w:jc w:val="center"/>
            </w:pPr>
            <w:r>
              <w:rPr>
                <w:rFonts w:ascii="Calibri" w:cs="Calibri" w:eastAsia="Calibri" w:hAnsi="Calibri"/>
                <w:b w:val="false"/>
                <w:bCs w:val="false"/>
                <w:color w:val="303832"/>
                <w:sz w:val="16"/>
                <w:szCs w:val="16"/>
              </w:rPr>
              <w:t xml:space="preserve">7 - 8</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
            </w:r>
          </w:p>
        </w:tc>
        <w:tc>
          <w:tcPr>
            <w:tcW w:type="pct" w:w="2750"/>
          </w:tcPr>
          <w:p>
            <w:pPr>
              <w:spacing w:after="60" w:before="60" w:line="300"/>
            </w:pPr>
            <w:r>
              <w:rPr>
                <w:rFonts w:ascii="Calibri" w:cs="Calibri" w:eastAsia="Calibri" w:hAnsi="Calibri"/>
                <w:color w:val="303832"/>
                <w:sz w:val="22"/>
                <w:szCs w:val="22"/>
              </w:rPr>
              <w:t xml:space="preserve">2.3 Data Collection Plan (Requirement Gathering)</w:t>
            </w:r>
          </w:p>
        </w:tc>
        <w:tc>
          <w:tcPr>
            <w:tcW w:type="pct" w:w="750"/>
          </w:tcPr>
          <w:p>
            <w:pPr>
              <w:spacing w:after="60" w:before="60"/>
              <w:jc w:val="center"/>
            </w:pPr>
            <w:r>
              <w:rPr>
                <w:rFonts w:ascii="Calibri" w:cs="Calibri" w:eastAsia="Calibri" w:hAnsi="Calibri"/>
                <w:b w:val="false"/>
                <w:bCs w:val="false"/>
                <w:color w:val="303832"/>
                <w:sz w:val="16"/>
                <w:szCs w:val="16"/>
              </w:rPr>
              <w:t xml:space="preserve">8 - 9</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
            </w:r>
          </w:p>
        </w:tc>
        <w:tc>
          <w:tcPr>
            <w:tcW w:type="pct" w:w="2750"/>
          </w:tcPr>
          <w:p>
            <w:pPr>
              <w:spacing w:after="60" w:before="60" w:line="300"/>
            </w:pPr>
            <w:r>
              <w:rPr>
                <w:rFonts w:ascii="Calibri" w:cs="Calibri" w:eastAsia="Calibri" w:hAnsi="Calibri"/>
                <w:color w:val="303832"/>
                <w:sz w:val="22"/>
                <w:szCs w:val="22"/>
              </w:rPr>
              <w:t xml:space="preserve">2.4 Supporting Material (Application Architecture &amp; Modules)</w:t>
            </w:r>
          </w:p>
        </w:tc>
        <w:tc>
          <w:tcPr>
            <w:tcW w:type="pct" w:w="750"/>
          </w:tcPr>
          <w:p>
            <w:pPr>
              <w:spacing w:after="60" w:before="60"/>
              <w:jc w:val="center"/>
            </w:pPr>
            <w:r>
              <w:rPr>
                <w:rFonts w:ascii="Calibri" w:cs="Calibri" w:eastAsia="Calibri" w:hAnsi="Calibri"/>
                <w:b w:val="false"/>
                <w:bCs w:val="false"/>
                <w:color w:val="303832"/>
                <w:sz w:val="16"/>
                <w:szCs w:val="16"/>
              </w:rPr>
              <w:t xml:space="preserve">10</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3</w:t>
            </w:r>
          </w:p>
        </w:tc>
        <w:tc>
          <w:tcPr>
            <w:tcW w:type="pct" w:w="2750"/>
          </w:tcPr>
          <w:p>
            <w:pPr>
              <w:spacing w:after="60" w:before="60" w:line="300"/>
            </w:pPr>
            <w:r>
              <w:rPr>
                <w:rFonts w:ascii="Calibri" w:cs="Calibri" w:eastAsia="Calibri" w:hAnsi="Calibri"/>
                <w:color w:val="303832"/>
                <w:sz w:val="22"/>
                <w:szCs w:val="22"/>
              </w:rPr>
              <w:t xml:space="preserve">METHODOLOGY (Design Documentation)</w:t>
            </w:r>
          </w:p>
        </w:tc>
        <w:tc>
          <w:tcPr>
            <w:tcW w:type="pct" w:w="750"/>
          </w:tcPr>
          <w:p>
            <w:pPr>
              <w:spacing w:after="60" w:before="60"/>
              <w:jc w:val="center"/>
            </w:pPr>
            <w:r>
              <w:rPr>
                <w:rFonts w:ascii="Calibri" w:cs="Calibri" w:eastAsia="Calibri" w:hAnsi="Calibri"/>
                <w:b w:val="false"/>
                <w:bCs w:val="false"/>
                <w:color w:val="303832"/>
                <w:sz w:val="16"/>
                <w:szCs w:val="16"/>
              </w:rPr>
              <w:t xml:space="preserve">11 - 15</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
            </w:r>
          </w:p>
        </w:tc>
        <w:tc>
          <w:tcPr>
            <w:tcW w:type="pct" w:w="2750"/>
          </w:tcPr>
          <w:p>
            <w:pPr>
              <w:spacing w:after="60" w:before="60" w:line="300"/>
            </w:pPr>
            <w:r>
              <w:rPr>
                <w:rFonts w:ascii="Calibri" w:cs="Calibri" w:eastAsia="Calibri" w:hAnsi="Calibri"/>
                <w:color w:val="303832"/>
                <w:sz w:val="22"/>
                <w:szCs w:val="22"/>
              </w:rPr>
              <w:t xml:space="preserve">3.1 ER Diagram (Entity Relationship Architecture)</w:t>
            </w:r>
          </w:p>
        </w:tc>
        <w:tc>
          <w:tcPr>
            <w:tcW w:type="pct" w:w="750"/>
          </w:tcPr>
          <w:p>
            <w:pPr>
              <w:spacing w:after="60" w:before="60"/>
              <w:jc w:val="center"/>
            </w:pPr>
            <w:r>
              <w:rPr>
                <w:rFonts w:ascii="Calibri" w:cs="Calibri" w:eastAsia="Calibri" w:hAnsi="Calibri"/>
                <w:b w:val="false"/>
                <w:bCs w:val="false"/>
                <w:color w:val="303832"/>
                <w:sz w:val="16"/>
                <w:szCs w:val="16"/>
              </w:rPr>
              <w:t xml:space="preserve">11</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
            </w:r>
          </w:p>
        </w:tc>
        <w:tc>
          <w:tcPr>
            <w:tcW w:type="pct" w:w="2750"/>
          </w:tcPr>
          <w:p>
            <w:pPr>
              <w:spacing w:after="60" w:before="60" w:line="300"/>
            </w:pPr>
            <w:r>
              <w:rPr>
                <w:rFonts w:ascii="Calibri" w:cs="Calibri" w:eastAsia="Calibri" w:hAnsi="Calibri"/>
                <w:color w:val="303832"/>
                <w:sz w:val="22"/>
                <w:szCs w:val="22"/>
              </w:rPr>
              <w:t xml:space="preserve">3.2 Class Diagram (Component &amp; Service Object Model)</w:t>
            </w:r>
          </w:p>
        </w:tc>
        <w:tc>
          <w:tcPr>
            <w:tcW w:type="pct" w:w="750"/>
          </w:tcPr>
          <w:p>
            <w:pPr>
              <w:spacing w:after="60" w:before="60"/>
              <w:jc w:val="center"/>
            </w:pPr>
            <w:r>
              <w:rPr>
                <w:rFonts w:ascii="Calibri" w:cs="Calibri" w:eastAsia="Calibri" w:hAnsi="Calibri"/>
                <w:b w:val="false"/>
                <w:bCs w:val="false"/>
                <w:color w:val="303832"/>
                <w:sz w:val="16"/>
                <w:szCs w:val="16"/>
              </w:rPr>
              <w:t xml:space="preserve">12</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
            </w:r>
          </w:p>
        </w:tc>
        <w:tc>
          <w:tcPr>
            <w:tcW w:type="pct" w:w="2750"/>
          </w:tcPr>
          <w:p>
            <w:pPr>
              <w:spacing w:after="60" w:before="60" w:line="300"/>
            </w:pPr>
            <w:r>
              <w:rPr>
                <w:rFonts w:ascii="Calibri" w:cs="Calibri" w:eastAsia="Calibri" w:hAnsi="Calibri"/>
                <w:color w:val="303832"/>
                <w:sz w:val="22"/>
                <w:szCs w:val="22"/>
              </w:rPr>
              <w:t xml:space="preserve">3.3 Flowchart (Complete Student Navigation &amp; Logic)</w:t>
            </w:r>
          </w:p>
        </w:tc>
        <w:tc>
          <w:tcPr>
            <w:tcW w:type="pct" w:w="750"/>
          </w:tcPr>
          <w:p>
            <w:pPr>
              <w:spacing w:after="60" w:before="60"/>
              <w:jc w:val="center"/>
            </w:pPr>
            <w:r>
              <w:rPr>
                <w:rFonts w:ascii="Calibri" w:cs="Calibri" w:eastAsia="Calibri" w:hAnsi="Calibri"/>
                <w:b w:val="false"/>
                <w:bCs w:val="false"/>
                <w:color w:val="303832"/>
                <w:sz w:val="16"/>
                <w:szCs w:val="16"/>
              </w:rPr>
              <w:t xml:space="preserve">13</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
            </w:r>
          </w:p>
        </w:tc>
        <w:tc>
          <w:tcPr>
            <w:tcW w:type="pct" w:w="2750"/>
          </w:tcPr>
          <w:p>
            <w:pPr>
              <w:spacing w:after="60" w:before="60" w:line="300"/>
            </w:pPr>
            <w:r>
              <w:rPr>
                <w:rFonts w:ascii="Calibri" w:cs="Calibri" w:eastAsia="Calibri" w:hAnsi="Calibri"/>
                <w:color w:val="303832"/>
                <w:sz w:val="22"/>
                <w:szCs w:val="22"/>
              </w:rPr>
              <w:t xml:space="preserve">3.4 Activity Diagram (Assessment &amp; Affordability Swimlanes)</w:t>
            </w:r>
          </w:p>
        </w:tc>
        <w:tc>
          <w:tcPr>
            <w:tcW w:type="pct" w:w="750"/>
          </w:tcPr>
          <w:p>
            <w:pPr>
              <w:spacing w:after="60" w:before="60"/>
              <w:jc w:val="center"/>
            </w:pPr>
            <w:r>
              <w:rPr>
                <w:rFonts w:ascii="Calibri" w:cs="Calibri" w:eastAsia="Calibri" w:hAnsi="Calibri"/>
                <w:b w:val="false"/>
                <w:bCs w:val="false"/>
                <w:color w:val="303832"/>
                <w:sz w:val="16"/>
                <w:szCs w:val="16"/>
              </w:rPr>
              <w:t xml:space="preserve">14</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
            </w:r>
          </w:p>
        </w:tc>
        <w:tc>
          <w:tcPr>
            <w:tcW w:type="pct" w:w="2750"/>
          </w:tcPr>
          <w:p>
            <w:pPr>
              <w:spacing w:after="60" w:before="60" w:line="300"/>
            </w:pPr>
            <w:r>
              <w:rPr>
                <w:rFonts w:ascii="Calibri" w:cs="Calibri" w:eastAsia="Calibri" w:hAnsi="Calibri"/>
                <w:color w:val="303832"/>
                <w:sz w:val="22"/>
                <w:szCs w:val="22"/>
              </w:rPr>
              <w:t xml:space="preserve">3.5 Sequence Diagram (Interactive Message Exchanges)</w:t>
            </w:r>
          </w:p>
        </w:tc>
        <w:tc>
          <w:tcPr>
            <w:tcW w:type="pct" w:w="750"/>
          </w:tcPr>
          <w:p>
            <w:pPr>
              <w:spacing w:after="60" w:before="60"/>
              <w:jc w:val="center"/>
            </w:pPr>
            <w:r>
              <w:rPr>
                <w:rFonts w:ascii="Calibri" w:cs="Calibri" w:eastAsia="Calibri" w:hAnsi="Calibri"/>
                <w:b w:val="false"/>
                <w:bCs w:val="false"/>
                <w:color w:val="303832"/>
                <w:sz w:val="16"/>
                <w:szCs w:val="16"/>
              </w:rPr>
              <w:t xml:space="preserve">15</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4</w:t>
            </w:r>
          </w:p>
        </w:tc>
        <w:tc>
          <w:tcPr>
            <w:tcW w:type="pct" w:w="2750"/>
          </w:tcPr>
          <w:p>
            <w:pPr>
              <w:spacing w:after="60" w:before="60" w:line="300"/>
            </w:pPr>
            <w:r>
              <w:rPr>
                <w:rFonts w:ascii="Calibri" w:cs="Calibri" w:eastAsia="Calibri" w:hAnsi="Calibri"/>
                <w:color w:val="303832"/>
                <w:sz w:val="22"/>
                <w:szCs w:val="22"/>
              </w:rPr>
              <w:t xml:space="preserve">DESCRIPTION OF SYSTEM MODULES &amp; DATA DESIGN</w:t>
            </w:r>
          </w:p>
        </w:tc>
        <w:tc>
          <w:tcPr>
            <w:tcW w:type="pct" w:w="750"/>
          </w:tcPr>
          <w:p>
            <w:pPr>
              <w:spacing w:after="60" w:before="60"/>
              <w:jc w:val="center"/>
            </w:pPr>
            <w:r>
              <w:rPr>
                <w:rFonts w:ascii="Calibri" w:cs="Calibri" w:eastAsia="Calibri" w:hAnsi="Calibri"/>
                <w:b w:val="false"/>
                <w:bCs w:val="false"/>
                <w:color w:val="303832"/>
                <w:sz w:val="16"/>
                <w:szCs w:val="16"/>
              </w:rPr>
              <w:t xml:space="preserve">16 - 21</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
            </w:r>
          </w:p>
        </w:tc>
        <w:tc>
          <w:tcPr>
            <w:tcW w:type="pct" w:w="2750"/>
          </w:tcPr>
          <w:p>
            <w:pPr>
              <w:spacing w:after="60" w:before="60" w:line="300"/>
            </w:pPr>
            <w:r>
              <w:rPr>
                <w:rFonts w:ascii="Calibri" w:cs="Calibri" w:eastAsia="Calibri" w:hAnsi="Calibri"/>
                <w:color w:val="303832"/>
                <w:sz w:val="22"/>
                <w:szCs w:val="22"/>
              </w:rPr>
              <w:t xml:space="preserve">4.1 Introduction to Core Modules</w:t>
            </w:r>
          </w:p>
        </w:tc>
        <w:tc>
          <w:tcPr>
            <w:tcW w:type="pct" w:w="750"/>
          </w:tcPr>
          <w:p>
            <w:pPr>
              <w:spacing w:after="60" w:before="60"/>
              <w:jc w:val="center"/>
            </w:pPr>
            <w:r>
              <w:rPr>
                <w:rFonts w:ascii="Calibri" w:cs="Calibri" w:eastAsia="Calibri" w:hAnsi="Calibri"/>
                <w:b w:val="false"/>
                <w:bCs w:val="false"/>
                <w:color w:val="303832"/>
                <w:sz w:val="16"/>
                <w:szCs w:val="16"/>
              </w:rPr>
              <w:t xml:space="preserve">16</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
            </w:r>
          </w:p>
        </w:tc>
        <w:tc>
          <w:tcPr>
            <w:tcW w:type="pct" w:w="2750"/>
          </w:tcPr>
          <w:p>
            <w:pPr>
              <w:spacing w:after="60" w:before="60" w:line="300"/>
            </w:pPr>
            <w:r>
              <w:rPr>
                <w:rFonts w:ascii="Calibri" w:cs="Calibri" w:eastAsia="Calibri" w:hAnsi="Calibri"/>
                <w:color w:val="303832"/>
                <w:sz w:val="22"/>
                <w:szCs w:val="22"/>
              </w:rPr>
              <w:t xml:space="preserve">    4.1.1 Career Explorer &amp; Reality Check Module</w:t>
            </w:r>
          </w:p>
        </w:tc>
        <w:tc>
          <w:tcPr>
            <w:tcW w:type="pct" w:w="750"/>
          </w:tcPr>
          <w:p>
            <w:pPr>
              <w:spacing w:after="60" w:before="60"/>
              <w:jc w:val="center"/>
            </w:pPr>
            <w:r>
              <w:rPr>
                <w:rFonts w:ascii="Calibri" w:cs="Calibri" w:eastAsia="Calibri" w:hAnsi="Calibri"/>
                <w:b w:val="false"/>
                <w:bCs w:val="false"/>
                <w:color w:val="303832"/>
                <w:sz w:val="16"/>
                <w:szCs w:val="16"/>
              </w:rPr>
              <w:t xml:space="preserve">16</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
            </w:r>
          </w:p>
        </w:tc>
        <w:tc>
          <w:tcPr>
            <w:tcW w:type="pct" w:w="2750"/>
          </w:tcPr>
          <w:p>
            <w:pPr>
              <w:spacing w:after="60" w:before="60" w:line="300"/>
            </w:pPr>
            <w:r>
              <w:rPr>
                <w:rFonts w:ascii="Calibri" w:cs="Calibri" w:eastAsia="Calibri" w:hAnsi="Calibri"/>
                <w:color w:val="303832"/>
                <w:sz w:val="22"/>
                <w:szCs w:val="22"/>
              </w:rPr>
              <w:t xml:space="preserve">    4.1.2 Scholarship &amp; Financial Assistance Module (MahaDBT &amp; NSP)</w:t>
            </w:r>
          </w:p>
        </w:tc>
        <w:tc>
          <w:tcPr>
            <w:tcW w:type="pct" w:w="750"/>
          </w:tcPr>
          <w:p>
            <w:pPr>
              <w:spacing w:after="60" w:before="60"/>
              <w:jc w:val="center"/>
            </w:pPr>
            <w:r>
              <w:rPr>
                <w:rFonts w:ascii="Calibri" w:cs="Calibri" w:eastAsia="Calibri" w:hAnsi="Calibri"/>
                <w:b w:val="false"/>
                <w:bCs w:val="false"/>
                <w:color w:val="303832"/>
                <w:sz w:val="16"/>
                <w:szCs w:val="16"/>
              </w:rPr>
              <w:t xml:space="preserve">16</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
            </w:r>
          </w:p>
        </w:tc>
        <w:tc>
          <w:tcPr>
            <w:tcW w:type="pct" w:w="2750"/>
          </w:tcPr>
          <w:p>
            <w:pPr>
              <w:spacing w:after="60" w:before="60" w:line="300"/>
            </w:pPr>
            <w:r>
              <w:rPr>
                <w:rFonts w:ascii="Calibri" w:cs="Calibri" w:eastAsia="Calibri" w:hAnsi="Calibri"/>
                <w:color w:val="303832"/>
                <w:sz w:val="22"/>
                <w:szCs w:val="22"/>
              </w:rPr>
              <w:t xml:space="preserve">    4.1.3 Entrance Examination &amp; Admission Guide Module</w:t>
            </w:r>
          </w:p>
        </w:tc>
        <w:tc>
          <w:tcPr>
            <w:tcW w:type="pct" w:w="750"/>
          </w:tcPr>
          <w:p>
            <w:pPr>
              <w:spacing w:after="60" w:before="60"/>
              <w:jc w:val="center"/>
            </w:pPr>
            <w:r>
              <w:rPr>
                <w:rFonts w:ascii="Calibri" w:cs="Calibri" w:eastAsia="Calibri" w:hAnsi="Calibri"/>
                <w:b w:val="false"/>
                <w:bCs w:val="false"/>
                <w:color w:val="303832"/>
                <w:sz w:val="16"/>
                <w:szCs w:val="16"/>
              </w:rPr>
              <w:t xml:space="preserve">17</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
            </w:r>
          </w:p>
        </w:tc>
        <w:tc>
          <w:tcPr>
            <w:tcW w:type="pct" w:w="2750"/>
          </w:tcPr>
          <w:p>
            <w:pPr>
              <w:spacing w:after="60" w:before="60" w:line="300"/>
            </w:pPr>
            <w:r>
              <w:rPr>
                <w:rFonts w:ascii="Calibri" w:cs="Calibri" w:eastAsia="Calibri" w:hAnsi="Calibri"/>
                <w:color w:val="303832"/>
                <w:sz w:val="22"/>
                <w:szCs w:val="22"/>
              </w:rPr>
              <w:t xml:space="preserve">    4.1.4 Guided Career Assessment &amp; Low-Cost Pathway Generator</w:t>
            </w:r>
          </w:p>
        </w:tc>
        <w:tc>
          <w:tcPr>
            <w:tcW w:type="pct" w:w="750"/>
          </w:tcPr>
          <w:p>
            <w:pPr>
              <w:spacing w:after="60" w:before="60"/>
              <w:jc w:val="center"/>
            </w:pPr>
            <w:r>
              <w:rPr>
                <w:rFonts w:ascii="Calibri" w:cs="Calibri" w:eastAsia="Calibri" w:hAnsi="Calibri"/>
                <w:b w:val="false"/>
                <w:bCs w:val="false"/>
                <w:color w:val="303832"/>
                <w:sz w:val="16"/>
                <w:szCs w:val="16"/>
              </w:rPr>
              <w:t xml:space="preserve">17</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
            </w:r>
          </w:p>
        </w:tc>
        <w:tc>
          <w:tcPr>
            <w:tcW w:type="pct" w:w="2750"/>
          </w:tcPr>
          <w:p>
            <w:pPr>
              <w:spacing w:after="60" w:before="60" w:line="300"/>
            </w:pPr>
            <w:r>
              <w:rPr>
                <w:rFonts w:ascii="Calibri" w:cs="Calibri" w:eastAsia="Calibri" w:hAnsi="Calibri"/>
                <w:color w:val="303832"/>
                <w:sz w:val="22"/>
                <w:szCs w:val="22"/>
              </w:rPr>
              <w:t xml:space="preserve">    4.1.5 Human Mentorship &amp; Minor Safeguarding Verification</w:t>
            </w:r>
          </w:p>
        </w:tc>
        <w:tc>
          <w:tcPr>
            <w:tcW w:type="pct" w:w="750"/>
          </w:tcPr>
          <w:p>
            <w:pPr>
              <w:spacing w:after="60" w:before="60"/>
              <w:jc w:val="center"/>
            </w:pPr>
            <w:r>
              <w:rPr>
                <w:rFonts w:ascii="Calibri" w:cs="Calibri" w:eastAsia="Calibri" w:hAnsi="Calibri"/>
                <w:b w:val="false"/>
                <w:bCs w:val="false"/>
                <w:color w:val="303832"/>
                <w:sz w:val="16"/>
                <w:szCs w:val="16"/>
              </w:rPr>
              <w:t xml:space="preserve">17</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
            </w:r>
          </w:p>
        </w:tc>
        <w:tc>
          <w:tcPr>
            <w:tcW w:type="pct" w:w="2750"/>
          </w:tcPr>
          <w:p>
            <w:pPr>
              <w:spacing w:after="60" w:before="60" w:line="300"/>
            </w:pPr>
            <w:r>
              <w:rPr>
                <w:rFonts w:ascii="Calibri" w:cs="Calibri" w:eastAsia="Calibri" w:hAnsi="Calibri"/>
                <w:color w:val="303832"/>
                <w:sz w:val="22"/>
                <w:szCs w:val="22"/>
              </w:rPr>
              <w:t xml:space="preserve">    4.1.6 Interactive Student Action Roadmap &amp; Offline Tools</w:t>
            </w:r>
          </w:p>
        </w:tc>
        <w:tc>
          <w:tcPr>
            <w:tcW w:type="pct" w:w="750"/>
          </w:tcPr>
          <w:p>
            <w:pPr>
              <w:spacing w:after="60" w:before="60"/>
              <w:jc w:val="center"/>
            </w:pPr>
            <w:r>
              <w:rPr>
                <w:rFonts w:ascii="Calibri" w:cs="Calibri" w:eastAsia="Calibri" w:hAnsi="Calibri"/>
                <w:b w:val="false"/>
                <w:bCs w:val="false"/>
                <w:color w:val="303832"/>
                <w:sz w:val="16"/>
                <w:szCs w:val="16"/>
              </w:rPr>
              <w:t xml:space="preserve">18</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
            </w:r>
          </w:p>
        </w:tc>
        <w:tc>
          <w:tcPr>
            <w:tcW w:type="pct" w:w="2750"/>
          </w:tcPr>
          <w:p>
            <w:pPr>
              <w:spacing w:after="60" w:before="60" w:line="300"/>
            </w:pPr>
            <w:r>
              <w:rPr>
                <w:rFonts w:ascii="Calibri" w:cs="Calibri" w:eastAsia="Calibri" w:hAnsi="Calibri"/>
                <w:color w:val="303832"/>
                <w:sz w:val="22"/>
                <w:szCs w:val="22"/>
              </w:rPr>
              <w:t xml:space="preserve">4.2 Data Design &amp; State Management</w:t>
            </w:r>
          </w:p>
        </w:tc>
        <w:tc>
          <w:tcPr>
            <w:tcW w:type="pct" w:w="750"/>
          </w:tcPr>
          <w:p>
            <w:pPr>
              <w:spacing w:after="60" w:before="60"/>
              <w:jc w:val="center"/>
            </w:pPr>
            <w:r>
              <w:rPr>
                <w:rFonts w:ascii="Calibri" w:cs="Calibri" w:eastAsia="Calibri" w:hAnsi="Calibri"/>
                <w:b w:val="false"/>
                <w:bCs w:val="false"/>
                <w:color w:val="303832"/>
                <w:sz w:val="16"/>
                <w:szCs w:val="16"/>
              </w:rPr>
              <w:t xml:space="preserve">18</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
            </w:r>
          </w:p>
        </w:tc>
        <w:tc>
          <w:tcPr>
            <w:tcW w:type="pct" w:w="2750"/>
          </w:tcPr>
          <w:p>
            <w:pPr>
              <w:spacing w:after="60" w:before="60" w:line="300"/>
            </w:pPr>
            <w:r>
              <w:rPr>
                <w:rFonts w:ascii="Calibri" w:cs="Calibri" w:eastAsia="Calibri" w:hAnsi="Calibri"/>
                <w:color w:val="303832"/>
                <w:sz w:val="22"/>
                <w:szCs w:val="22"/>
              </w:rPr>
              <w:t xml:space="preserve">    4.2.1 Career Data Schema</w:t>
            </w:r>
          </w:p>
        </w:tc>
        <w:tc>
          <w:tcPr>
            <w:tcW w:type="pct" w:w="750"/>
          </w:tcPr>
          <w:p>
            <w:pPr>
              <w:spacing w:after="60" w:before="60"/>
              <w:jc w:val="center"/>
            </w:pPr>
            <w:r>
              <w:rPr>
                <w:rFonts w:ascii="Calibri" w:cs="Calibri" w:eastAsia="Calibri" w:hAnsi="Calibri"/>
                <w:b w:val="false"/>
                <w:bCs w:val="false"/>
                <w:color w:val="303832"/>
                <w:sz w:val="16"/>
                <w:szCs w:val="16"/>
              </w:rPr>
              <w:t xml:space="preserve">18</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
            </w:r>
          </w:p>
        </w:tc>
        <w:tc>
          <w:tcPr>
            <w:tcW w:type="pct" w:w="2750"/>
          </w:tcPr>
          <w:p>
            <w:pPr>
              <w:spacing w:after="60" w:before="60" w:line="300"/>
            </w:pPr>
            <w:r>
              <w:rPr>
                <w:rFonts w:ascii="Calibri" w:cs="Calibri" w:eastAsia="Calibri" w:hAnsi="Calibri"/>
                <w:color w:val="303832"/>
                <w:sz w:val="22"/>
                <w:szCs w:val="22"/>
              </w:rPr>
              <w:t xml:space="preserve">    4.2.2 Scholarship &amp; MahaDBT Criteria Schema</w:t>
            </w:r>
          </w:p>
        </w:tc>
        <w:tc>
          <w:tcPr>
            <w:tcW w:type="pct" w:w="750"/>
          </w:tcPr>
          <w:p>
            <w:pPr>
              <w:spacing w:after="60" w:before="60"/>
              <w:jc w:val="center"/>
            </w:pPr>
            <w:r>
              <w:rPr>
                <w:rFonts w:ascii="Calibri" w:cs="Calibri" w:eastAsia="Calibri" w:hAnsi="Calibri"/>
                <w:b w:val="false"/>
                <w:bCs w:val="false"/>
                <w:color w:val="303832"/>
                <w:sz w:val="16"/>
                <w:szCs w:val="16"/>
              </w:rPr>
              <w:t xml:space="preserve">18</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
            </w:r>
          </w:p>
        </w:tc>
        <w:tc>
          <w:tcPr>
            <w:tcW w:type="pct" w:w="2750"/>
          </w:tcPr>
          <w:p>
            <w:pPr>
              <w:spacing w:after="60" w:before="60" w:line="300"/>
            </w:pPr>
            <w:r>
              <w:rPr>
                <w:rFonts w:ascii="Calibri" w:cs="Calibri" w:eastAsia="Calibri" w:hAnsi="Calibri"/>
                <w:color w:val="303832"/>
                <w:sz w:val="22"/>
                <w:szCs w:val="22"/>
              </w:rPr>
              <w:t xml:space="preserve">    4.2.3 Examination &amp; Admission Timeline Schema</w:t>
            </w:r>
          </w:p>
        </w:tc>
        <w:tc>
          <w:tcPr>
            <w:tcW w:type="pct" w:w="750"/>
          </w:tcPr>
          <w:p>
            <w:pPr>
              <w:spacing w:after="60" w:before="60"/>
              <w:jc w:val="center"/>
            </w:pPr>
            <w:r>
              <w:rPr>
                <w:rFonts w:ascii="Calibri" w:cs="Calibri" w:eastAsia="Calibri" w:hAnsi="Calibri"/>
                <w:b w:val="false"/>
                <w:bCs w:val="false"/>
                <w:color w:val="303832"/>
                <w:sz w:val="16"/>
                <w:szCs w:val="16"/>
              </w:rPr>
              <w:t xml:space="preserve">19</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
            </w:r>
          </w:p>
        </w:tc>
        <w:tc>
          <w:tcPr>
            <w:tcW w:type="pct" w:w="2750"/>
          </w:tcPr>
          <w:p>
            <w:pPr>
              <w:spacing w:after="60" w:before="60" w:line="300"/>
            </w:pPr>
            <w:r>
              <w:rPr>
                <w:rFonts w:ascii="Calibri" w:cs="Calibri" w:eastAsia="Calibri" w:hAnsi="Calibri"/>
                <w:color w:val="303832"/>
                <w:sz w:val="22"/>
                <w:szCs w:val="22"/>
              </w:rPr>
              <w:t xml:space="preserve">    4.2.4 Assessment &amp; Roadmap LocalStorage Cache Schema</w:t>
            </w:r>
          </w:p>
        </w:tc>
        <w:tc>
          <w:tcPr>
            <w:tcW w:type="pct" w:w="750"/>
          </w:tcPr>
          <w:p>
            <w:pPr>
              <w:spacing w:after="60" w:before="60"/>
              <w:jc w:val="center"/>
            </w:pPr>
            <w:r>
              <w:rPr>
                <w:rFonts w:ascii="Calibri" w:cs="Calibri" w:eastAsia="Calibri" w:hAnsi="Calibri"/>
                <w:b w:val="false"/>
                <w:bCs w:val="false"/>
                <w:color w:val="303832"/>
                <w:sz w:val="16"/>
                <w:szCs w:val="16"/>
              </w:rPr>
              <w:t xml:space="preserve">19</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
            </w:r>
          </w:p>
        </w:tc>
        <w:tc>
          <w:tcPr>
            <w:tcW w:type="pct" w:w="2750"/>
          </w:tcPr>
          <w:p>
            <w:pPr>
              <w:spacing w:after="60" w:before="60" w:line="300"/>
            </w:pPr>
            <w:r>
              <w:rPr>
                <w:rFonts w:ascii="Calibri" w:cs="Calibri" w:eastAsia="Calibri" w:hAnsi="Calibri"/>
                <w:color w:val="303832"/>
                <w:sz w:val="22"/>
                <w:szCs w:val="22"/>
              </w:rPr>
              <w:t xml:space="preserve">    4.2.5 Mentorship &amp; Minor Consent Verification Schema</w:t>
            </w:r>
          </w:p>
        </w:tc>
        <w:tc>
          <w:tcPr>
            <w:tcW w:type="pct" w:w="750"/>
          </w:tcPr>
          <w:p>
            <w:pPr>
              <w:spacing w:after="60" w:before="60"/>
              <w:jc w:val="center"/>
            </w:pPr>
            <w:r>
              <w:rPr>
                <w:rFonts w:ascii="Calibri" w:cs="Calibri" w:eastAsia="Calibri" w:hAnsi="Calibri"/>
                <w:b w:val="false"/>
                <w:bCs w:val="false"/>
                <w:color w:val="303832"/>
                <w:sz w:val="16"/>
                <w:szCs w:val="16"/>
              </w:rPr>
              <w:t xml:space="preserve">19</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
            </w:r>
          </w:p>
        </w:tc>
        <w:tc>
          <w:tcPr>
            <w:tcW w:type="pct" w:w="2750"/>
          </w:tcPr>
          <w:p>
            <w:pPr>
              <w:spacing w:after="60" w:before="60" w:line="300"/>
            </w:pPr>
            <w:r>
              <w:rPr>
                <w:rFonts w:ascii="Calibri" w:cs="Calibri" w:eastAsia="Calibri" w:hAnsi="Calibri"/>
                <w:color w:val="303832"/>
                <w:sz w:val="22"/>
                <w:szCs w:val="22"/>
              </w:rPr>
              <w:t xml:space="preserve">4.3 Graphical User Interface (GUI) Screenshots &amp; Verification</w:t>
            </w:r>
          </w:p>
        </w:tc>
        <w:tc>
          <w:tcPr>
            <w:tcW w:type="pct" w:w="750"/>
          </w:tcPr>
          <w:p>
            <w:pPr>
              <w:spacing w:after="60" w:before="60"/>
              <w:jc w:val="center"/>
            </w:pPr>
            <w:r>
              <w:rPr>
                <w:rFonts w:ascii="Calibri" w:cs="Calibri" w:eastAsia="Calibri" w:hAnsi="Calibri"/>
                <w:b w:val="false"/>
                <w:bCs w:val="false"/>
                <w:color w:val="303832"/>
                <w:sz w:val="16"/>
                <w:szCs w:val="16"/>
              </w:rPr>
              <w:t xml:space="preserve">20 - 21</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
            </w:r>
          </w:p>
        </w:tc>
        <w:tc>
          <w:tcPr>
            <w:tcW w:type="pct" w:w="2750"/>
          </w:tcPr>
          <w:p>
            <w:pPr>
              <w:spacing w:after="60" w:before="60" w:line="300"/>
            </w:pPr>
            <w:r>
              <w:rPr>
                <w:rFonts w:ascii="Calibri" w:cs="Calibri" w:eastAsia="Calibri" w:hAnsi="Calibri"/>
                <w:color w:val="303832"/>
                <w:sz w:val="22"/>
                <w:szCs w:val="22"/>
              </w:rPr>
              <w:t xml:space="preserve">    4.3.1 Home Page &amp; Hero Section</w:t>
            </w:r>
          </w:p>
        </w:tc>
        <w:tc>
          <w:tcPr>
            <w:tcW w:type="pct" w:w="750"/>
          </w:tcPr>
          <w:p>
            <w:pPr>
              <w:spacing w:after="60" w:before="60"/>
              <w:jc w:val="center"/>
            </w:pPr>
            <w:r>
              <w:rPr>
                <w:rFonts w:ascii="Calibri" w:cs="Calibri" w:eastAsia="Calibri" w:hAnsi="Calibri"/>
                <w:b w:val="false"/>
                <w:bCs w:val="false"/>
                <w:color w:val="303832"/>
                <w:sz w:val="16"/>
                <w:szCs w:val="16"/>
              </w:rPr>
              <w:t xml:space="preserve">20</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
            </w:r>
          </w:p>
        </w:tc>
        <w:tc>
          <w:tcPr>
            <w:tcW w:type="pct" w:w="2750"/>
          </w:tcPr>
          <w:p>
            <w:pPr>
              <w:spacing w:after="60" w:before="60" w:line="300"/>
            </w:pPr>
            <w:r>
              <w:rPr>
                <w:rFonts w:ascii="Calibri" w:cs="Calibri" w:eastAsia="Calibri" w:hAnsi="Calibri"/>
                <w:color w:val="303832"/>
                <w:sz w:val="22"/>
                <w:szCs w:val="22"/>
              </w:rPr>
              <w:t xml:space="preserve">    4.3.2 Career Explorer &amp; Domain Comparison Tool</w:t>
            </w:r>
          </w:p>
        </w:tc>
        <w:tc>
          <w:tcPr>
            <w:tcW w:type="pct" w:w="750"/>
          </w:tcPr>
          <w:p>
            <w:pPr>
              <w:spacing w:after="60" w:before="60"/>
              <w:jc w:val="center"/>
            </w:pPr>
            <w:r>
              <w:rPr>
                <w:rFonts w:ascii="Calibri" w:cs="Calibri" w:eastAsia="Calibri" w:hAnsi="Calibri"/>
                <w:b w:val="false"/>
                <w:bCs w:val="false"/>
                <w:color w:val="303832"/>
                <w:sz w:val="16"/>
                <w:szCs w:val="16"/>
              </w:rPr>
              <w:t xml:space="preserve">20</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
            </w:r>
          </w:p>
        </w:tc>
        <w:tc>
          <w:tcPr>
            <w:tcW w:type="pct" w:w="2750"/>
          </w:tcPr>
          <w:p>
            <w:pPr>
              <w:spacing w:after="60" w:before="60" w:line="300"/>
            </w:pPr>
            <w:r>
              <w:rPr>
                <w:rFonts w:ascii="Calibri" w:cs="Calibri" w:eastAsia="Calibri" w:hAnsi="Calibri"/>
                <w:color w:val="303832"/>
                <w:sz w:val="22"/>
                <w:szCs w:val="22"/>
              </w:rPr>
              <w:t xml:space="preserve">    4.3.3 Scholarship Finder &amp; MahaDBT Direct Portal Verification</w:t>
            </w:r>
          </w:p>
        </w:tc>
        <w:tc>
          <w:tcPr>
            <w:tcW w:type="pct" w:w="750"/>
          </w:tcPr>
          <w:p>
            <w:pPr>
              <w:spacing w:after="60" w:before="60"/>
              <w:jc w:val="center"/>
            </w:pPr>
            <w:r>
              <w:rPr>
                <w:rFonts w:ascii="Calibri" w:cs="Calibri" w:eastAsia="Calibri" w:hAnsi="Calibri"/>
                <w:b w:val="false"/>
                <w:bCs w:val="false"/>
                <w:color w:val="303832"/>
                <w:sz w:val="16"/>
                <w:szCs w:val="16"/>
              </w:rPr>
              <w:t xml:space="preserve">20</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
            </w:r>
          </w:p>
        </w:tc>
        <w:tc>
          <w:tcPr>
            <w:tcW w:type="pct" w:w="2750"/>
          </w:tcPr>
          <w:p>
            <w:pPr>
              <w:spacing w:after="60" w:before="60" w:line="300"/>
            </w:pPr>
            <w:r>
              <w:rPr>
                <w:rFonts w:ascii="Calibri" w:cs="Calibri" w:eastAsia="Calibri" w:hAnsi="Calibri"/>
                <w:color w:val="303832"/>
                <w:sz w:val="22"/>
                <w:szCs w:val="22"/>
              </w:rPr>
              <w:t xml:space="preserve">    4.3.4 Guided 6-Step Career Assessment Quiz</w:t>
            </w:r>
          </w:p>
        </w:tc>
        <w:tc>
          <w:tcPr>
            <w:tcW w:type="pct" w:w="750"/>
          </w:tcPr>
          <w:p>
            <w:pPr>
              <w:spacing w:after="60" w:before="60"/>
              <w:jc w:val="center"/>
            </w:pPr>
            <w:r>
              <w:rPr>
                <w:rFonts w:ascii="Calibri" w:cs="Calibri" w:eastAsia="Calibri" w:hAnsi="Calibri"/>
                <w:b w:val="false"/>
                <w:bCs w:val="false"/>
                <w:color w:val="303832"/>
                <w:sz w:val="16"/>
                <w:szCs w:val="16"/>
              </w:rPr>
              <w:t xml:space="preserve">21</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
            </w:r>
          </w:p>
        </w:tc>
        <w:tc>
          <w:tcPr>
            <w:tcW w:type="pct" w:w="2750"/>
          </w:tcPr>
          <w:p>
            <w:pPr>
              <w:spacing w:after="60" w:before="60" w:line="300"/>
            </w:pPr>
            <w:r>
              <w:rPr>
                <w:rFonts w:ascii="Calibri" w:cs="Calibri" w:eastAsia="Calibri" w:hAnsi="Calibri"/>
                <w:color w:val="303832"/>
                <w:sz w:val="22"/>
                <w:szCs w:val="22"/>
              </w:rPr>
              <w:t xml:space="preserve">    4.3.5 Verified Mentorship &amp; Minor Safeguarding Modal</w:t>
            </w:r>
          </w:p>
        </w:tc>
        <w:tc>
          <w:tcPr>
            <w:tcW w:type="pct" w:w="750"/>
          </w:tcPr>
          <w:p>
            <w:pPr>
              <w:spacing w:after="60" w:before="60"/>
              <w:jc w:val="center"/>
            </w:pPr>
            <w:r>
              <w:rPr>
                <w:rFonts w:ascii="Calibri" w:cs="Calibri" w:eastAsia="Calibri" w:hAnsi="Calibri"/>
                <w:b w:val="false"/>
                <w:bCs w:val="false"/>
                <w:color w:val="303832"/>
                <w:sz w:val="16"/>
                <w:szCs w:val="16"/>
              </w:rPr>
              <w:t xml:space="preserve">21</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
            </w:r>
          </w:p>
        </w:tc>
        <w:tc>
          <w:tcPr>
            <w:tcW w:type="pct" w:w="2750"/>
          </w:tcPr>
          <w:p>
            <w:pPr>
              <w:spacing w:after="60" w:before="60" w:line="300"/>
            </w:pPr>
            <w:r>
              <w:rPr>
                <w:rFonts w:ascii="Calibri" w:cs="Calibri" w:eastAsia="Calibri" w:hAnsi="Calibri"/>
                <w:color w:val="303832"/>
                <w:sz w:val="22"/>
                <w:szCs w:val="22"/>
              </w:rPr>
              <w:t xml:space="preserve">    4.3.6 Student Action Roadmap &amp; Offline Printable Study Plan</w:t>
            </w:r>
          </w:p>
        </w:tc>
        <w:tc>
          <w:tcPr>
            <w:tcW w:type="pct" w:w="750"/>
          </w:tcPr>
          <w:p>
            <w:pPr>
              <w:spacing w:after="60" w:before="60"/>
              <w:jc w:val="center"/>
            </w:pPr>
            <w:r>
              <w:rPr>
                <w:rFonts w:ascii="Calibri" w:cs="Calibri" w:eastAsia="Calibri" w:hAnsi="Calibri"/>
                <w:b w:val="false"/>
                <w:bCs w:val="false"/>
                <w:color w:val="303832"/>
                <w:sz w:val="16"/>
                <w:szCs w:val="16"/>
              </w:rPr>
              <w:t xml:space="preserve">21</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5</w:t>
            </w:r>
          </w:p>
        </w:tc>
        <w:tc>
          <w:tcPr>
            <w:tcW w:type="pct" w:w="2750"/>
          </w:tcPr>
          <w:p>
            <w:pPr>
              <w:spacing w:after="60" w:before="60" w:line="300"/>
            </w:pPr>
            <w:r>
              <w:rPr>
                <w:rFonts w:ascii="Calibri" w:cs="Calibri" w:eastAsia="Calibri" w:hAnsi="Calibri"/>
                <w:color w:val="303832"/>
                <w:sz w:val="22"/>
                <w:szCs w:val="22"/>
              </w:rPr>
              <w:t xml:space="preserve">CONCLUSION &amp; RECOMMENDATIONS</w:t>
            </w:r>
          </w:p>
        </w:tc>
        <w:tc>
          <w:tcPr>
            <w:tcW w:type="pct" w:w="750"/>
          </w:tcPr>
          <w:p>
            <w:pPr>
              <w:spacing w:after="60" w:before="60"/>
              <w:jc w:val="center"/>
            </w:pPr>
            <w:r>
              <w:rPr>
                <w:rFonts w:ascii="Calibri" w:cs="Calibri" w:eastAsia="Calibri" w:hAnsi="Calibri"/>
                <w:b w:val="false"/>
                <w:bCs w:val="false"/>
                <w:color w:val="303832"/>
                <w:sz w:val="16"/>
                <w:szCs w:val="16"/>
              </w:rPr>
              <w:t xml:space="preserve">22 - 23</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
            </w:r>
          </w:p>
        </w:tc>
        <w:tc>
          <w:tcPr>
            <w:tcW w:type="pct" w:w="2750"/>
          </w:tcPr>
          <w:p>
            <w:pPr>
              <w:spacing w:after="60" w:before="60" w:line="300"/>
            </w:pPr>
            <w:r>
              <w:rPr>
                <w:rFonts w:ascii="Calibri" w:cs="Calibri" w:eastAsia="Calibri" w:hAnsi="Calibri"/>
                <w:color w:val="303832"/>
                <w:sz w:val="22"/>
                <w:szCs w:val="22"/>
              </w:rPr>
              <w:t xml:space="preserve">5.1 Conclusion</w:t>
            </w:r>
          </w:p>
        </w:tc>
        <w:tc>
          <w:tcPr>
            <w:tcW w:type="pct" w:w="750"/>
          </w:tcPr>
          <w:p>
            <w:pPr>
              <w:spacing w:after="60" w:before="60"/>
              <w:jc w:val="center"/>
            </w:pPr>
            <w:r>
              <w:rPr>
                <w:rFonts w:ascii="Calibri" w:cs="Calibri" w:eastAsia="Calibri" w:hAnsi="Calibri"/>
                <w:b w:val="false"/>
                <w:bCs w:val="false"/>
                <w:color w:val="303832"/>
                <w:sz w:val="16"/>
                <w:szCs w:val="16"/>
              </w:rPr>
              <w:t xml:space="preserve">22</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
            </w:r>
          </w:p>
        </w:tc>
        <w:tc>
          <w:tcPr>
            <w:tcW w:type="pct" w:w="2750"/>
          </w:tcPr>
          <w:p>
            <w:pPr>
              <w:spacing w:after="60" w:before="60" w:line="300"/>
            </w:pPr>
            <w:r>
              <w:rPr>
                <w:rFonts w:ascii="Calibri" w:cs="Calibri" w:eastAsia="Calibri" w:hAnsi="Calibri"/>
                <w:color w:val="303832"/>
                <w:sz w:val="22"/>
                <w:szCs w:val="22"/>
              </w:rPr>
              <w:t xml:space="preserve">5.2 Recommendations and Future Enhancements</w:t>
            </w:r>
          </w:p>
        </w:tc>
        <w:tc>
          <w:tcPr>
            <w:tcW w:type="pct" w:w="750"/>
          </w:tcPr>
          <w:p>
            <w:pPr>
              <w:spacing w:after="60" w:before="60"/>
              <w:jc w:val="center"/>
            </w:pPr>
            <w:r>
              <w:rPr>
                <w:rFonts w:ascii="Calibri" w:cs="Calibri" w:eastAsia="Calibri" w:hAnsi="Calibri"/>
                <w:b w:val="false"/>
                <w:bCs w:val="false"/>
                <w:color w:val="303832"/>
                <w:sz w:val="16"/>
                <w:szCs w:val="16"/>
              </w:rPr>
              <w:t xml:space="preserve">23</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r>
        <w:tc>
          <w:tcPr>
            <w:tcW w:type="pct" w:w="750"/>
          </w:tcPr>
          <w:p>
            <w:pPr>
              <w:spacing w:after="60" w:before="60"/>
              <w:jc w:val="center"/>
            </w:pPr>
            <w:r>
              <w:rPr>
                <w:rFonts w:ascii="Calibri" w:cs="Calibri" w:eastAsia="Calibri" w:hAnsi="Calibri"/>
                <w:b/>
                <w:bCs/>
                <w:color w:val="303832"/>
                <w:sz w:val="16"/>
                <w:szCs w:val="16"/>
              </w:rPr>
              <w:t xml:space="preserve">6</w:t>
            </w:r>
          </w:p>
        </w:tc>
        <w:tc>
          <w:tcPr>
            <w:tcW w:type="pct" w:w="2750"/>
          </w:tcPr>
          <w:p>
            <w:pPr>
              <w:spacing w:after="60" w:before="60" w:line="300"/>
            </w:pPr>
            <w:r>
              <w:rPr>
                <w:rFonts w:ascii="Calibri" w:cs="Calibri" w:eastAsia="Calibri" w:hAnsi="Calibri"/>
                <w:color w:val="303832"/>
                <w:sz w:val="22"/>
                <w:szCs w:val="22"/>
              </w:rPr>
              <w:t xml:space="preserve">REFERENCES &amp; BIBLIOGRAPHY</w:t>
            </w:r>
          </w:p>
        </w:tc>
        <w:tc>
          <w:tcPr>
            <w:tcW w:type="pct" w:w="750"/>
          </w:tcPr>
          <w:p>
            <w:pPr>
              <w:spacing w:after="60" w:before="60"/>
              <w:jc w:val="center"/>
            </w:pPr>
            <w:r>
              <w:rPr>
                <w:rFonts w:ascii="Calibri" w:cs="Calibri" w:eastAsia="Calibri" w:hAnsi="Calibri"/>
                <w:b w:val="false"/>
                <w:bCs w:val="false"/>
                <w:color w:val="303832"/>
                <w:sz w:val="16"/>
                <w:szCs w:val="16"/>
              </w:rPr>
              <w:t xml:space="preserve">24</w:t>
            </w:r>
          </w:p>
        </w:tc>
        <w:tc>
          <w:tcPr>
            <w:tcW w:type="pct" w:w="750"/>
          </w:tcPr>
          <w:p>
            <w:pPr>
              <w:spacing w:after="60" w:before="60"/>
              <w:jc w:val="center"/>
            </w:pPr>
            <w:r>
              <w:rPr>
                <w:rFonts w:ascii="Calibri" w:cs="Calibri" w:eastAsia="Calibri" w:hAnsi="Calibri"/>
                <w:b w:val="false"/>
                <w:bCs w:val="false"/>
                <w:color w:val="303832"/>
                <w:sz w:val="16"/>
                <w:szCs w:val="16"/>
              </w:rPr>
              <w:t xml:space="preserve"/>
            </w:r>
          </w:p>
        </w:tc>
      </w:tr>
    </w:tbl>
    <w:p>
      <w:pPr>
        <w:pageBreakBefore/>
      </w:pPr>
    </w:p>
    <w:p>
      <w:pPr>
        <w:pStyle w:val="Heading1"/>
        <w:spacing w:after="140" w:before="360"/>
      </w:pPr>
      <w:r>
        <w:rPr>
          <w:rFonts w:ascii="Calibri" w:cs="Calibri" w:eastAsia="Calibri" w:hAnsi="Calibri"/>
          <w:b/>
          <w:bCs/>
          <w:color w:val="234B38"/>
          <w:sz w:val="28"/>
          <w:szCs w:val="28"/>
        </w:rPr>
        <w:t xml:space="preserve">1. INTRODUCTION</w:t>
      </w:r>
    </w:p>
    <w:p>
      <w:pPr>
        <w:spacing w:after="60" w:before="60" w:line="300"/>
      </w:pPr>
      <w:r>
        <w:rPr>
          <w:rFonts w:ascii="Calibri" w:cs="Calibri" w:eastAsia="Calibri" w:hAnsi="Calibri"/>
          <w:color w:val="303832"/>
          <w:sz w:val="22"/>
          <w:szCs w:val="22"/>
        </w:rPr>
        <w:t xml:space="preserve">In India today, career selection remains one of the most critical determinants of socio-economic mobility. However, access to professional career counselling is overwhelmingly concentrated in affluent urban areas and expensive private schools. For millions of students studying in government schools, rural communities, municipal junior colleges, and low-income households across Mumbai suburbs (such as Govandi, Chembur, and Mankhurd) and broader Maharashtra, reliable career advice is almost non-existent. First-generation college learners frequently struggle to navigate the complex maze of educational choices, admissions procedures, and financial assistance schemes.</w:t>
      </w:r>
    </w:p>
    <w:p>
      <w:pPr>
        <w:spacing w:after="60" w:before="60" w:line="300"/>
      </w:pPr>
      <w:r>
        <w:rPr>
          <w:rFonts w:ascii="Calibri" w:cs="Calibri" w:eastAsia="Calibri" w:hAnsi="Calibri"/>
          <w:color w:val="303832"/>
          <w:sz w:val="22"/>
          <w:szCs w:val="22"/>
        </w:rPr>
        <w:t xml:space="preserve">A pervasive misconception exists that the only viable paths to dignified employment are expensive private engineering or medical degrees. Consequently, families often incur crippling non-institutional debt to pay private college tuition fees, unaware of high-quality government institutions, polytechnic diplomas, Industrial Training Institutes (ITI), and state-sponsored scholarship schemes like MahaDBT. When students cannot afford private coaching or expensive degree programmes, they often drop out prematurely or take up low-skill informal jobs, failing to realize their full potential.</w:t>
      </w:r>
    </w:p>
    <w:p>
      <w:pPr>
        <w:spacing w:after="60" w:before="60" w:line="300"/>
      </w:pPr>
      <w:r>
        <w:rPr>
          <w:rFonts w:ascii="Calibri" w:cs="Calibri" w:eastAsia="Calibri" w:hAnsi="Calibri"/>
          <w:color w:val="303832"/>
          <w:sz w:val="22"/>
          <w:szCs w:val="22"/>
        </w:rPr>
        <w:t xml:space="preserve">The project “UDAAN — Online Career Guidance Portal for Underprivileged Students” is conceived and developed to solve this institutional disparity. Designed with the core ethos “Your dreams deserve a direction,” Udaan provides an open, free, accessible, and multilingual digital guidance platform. Built using modern web technologies (React 19, TypeScript, Vite, and accessible HTML5/CSS3), Udaan demystifies the Indian educational architecture, maps low-cost government college pathways, aggregates official state and central scholarships, offers an automated 6-step guided assessment, and connects students with verified volunteer mentors under strict minor-safeguarding protocols.</w:t>
      </w:r>
    </w:p>
    <w:p>
      <w:pPr>
        <w:pStyle w:val="Heading2"/>
        <w:spacing w:after="100" w:before="240"/>
      </w:pPr>
      <w:r>
        <w:rPr>
          <w:rFonts w:ascii="Calibri" w:cs="Calibri" w:eastAsia="Calibri" w:hAnsi="Calibri"/>
          <w:b/>
          <w:bCs/>
          <w:color w:val="C66B4E"/>
          <w:sz w:val="24"/>
          <w:szCs w:val="24"/>
        </w:rPr>
        <w:t xml:space="preserve">1.1 Existing System</w:t>
      </w:r>
    </w:p>
    <w:p>
      <w:pPr>
        <w:spacing w:after="60" w:before="60" w:line="300"/>
      </w:pPr>
      <w:r>
        <w:rPr>
          <w:rFonts w:ascii="Calibri" w:cs="Calibri" w:eastAsia="Calibri" w:hAnsi="Calibri"/>
          <w:color w:val="303832"/>
          <w:sz w:val="22"/>
          <w:szCs w:val="22"/>
        </w:rPr>
        <w:t xml:space="preserve">In the existing ecosystem, students from underprivileged backgrounds rely on unstructured advice from relatives, peers, or sensationalized social media content. The traditional landscape exhibits several systemic weaknesses:</w:t>
      </w:r>
    </w:p>
    <w:p>
      <w:pPr>
        <w:pStyle w:val="ListParagraph"/>
        <w:numPr>
          <w:ilvl w:val="0"/>
          <w:numId w:val="1"/>
        </w:numPr>
        <w:spacing w:after="40" w:before="40" w:line="280"/>
      </w:pPr>
      <w:r>
        <w:rPr>
          <w:rFonts w:ascii="Calibri" w:cs="Calibri" w:eastAsia="Calibri" w:hAnsi="Calibri"/>
          <w:b/>
          <w:bCs/>
          <w:color w:val="234B38"/>
          <w:sz w:val="22"/>
          <w:szCs w:val="22"/>
        </w:rPr>
        <w:t xml:space="preserve">Prohibitive Counselling Costs:</w:t>
      </w:r>
      <w:r>
        <w:rPr>
          <w:rFonts w:ascii="Calibri" w:cs="Calibri" w:eastAsia="Calibri" w:hAnsi="Calibri"/>
          <w:color w:val="303832"/>
          <w:sz w:val="22"/>
          <w:szCs w:val="22"/>
        </w:rPr>
        <w:t xml:space="preserve"> Commercial career counsellors charge between ₹3,000 and ₹25,000 for psychometric evaluations, rendering them completely out of reach for families earning less than ₹2.5 Lakhs annually.</w:t>
      </w:r>
    </w:p>
    <w:p>
      <w:pPr>
        <w:pStyle w:val="ListParagraph"/>
        <w:numPr>
          <w:ilvl w:val="0"/>
          <w:numId w:val="1"/>
        </w:numPr>
        <w:spacing w:after="40" w:before="40" w:line="280"/>
      </w:pPr>
      <w:r>
        <w:rPr>
          <w:rFonts w:ascii="Calibri" w:cs="Calibri" w:eastAsia="Calibri" w:hAnsi="Calibri"/>
          <w:b/>
          <w:bCs/>
          <w:color w:val="234B38"/>
          <w:sz w:val="22"/>
          <w:szCs w:val="22"/>
        </w:rPr>
        <w:t xml:space="preserve">Severe Information Asymmetry on Scholarships:</w:t>
      </w:r>
      <w:r>
        <w:rPr>
          <w:rFonts w:ascii="Calibri" w:cs="Calibri" w:eastAsia="Calibri" w:hAnsi="Calibri"/>
          <w:color w:val="303832"/>
          <w:sz w:val="22"/>
          <w:szCs w:val="22"/>
        </w:rPr>
        <w:t xml:space="preserve"> While the Government of Maharashtra runs extensive welfare schemes on MahaDBT (such as the Rajarshi Chhatrapati Shahu Maharaj Shikshan Shulkh Shishyavrutti Yojna covering 50% to 100% tuition fees), over 70% of eligible students in municipal schools are unaware of eligibility ceilings, required certificates, or application timelines.</w:t>
      </w:r>
    </w:p>
    <w:p>
      <w:pPr>
        <w:pStyle w:val="ListParagraph"/>
        <w:numPr>
          <w:ilvl w:val="0"/>
          <w:numId w:val="1"/>
        </w:numPr>
        <w:spacing w:after="40" w:before="40" w:line="280"/>
      </w:pPr>
      <w:r>
        <w:rPr>
          <w:rFonts w:ascii="Calibri" w:cs="Calibri" w:eastAsia="Calibri" w:hAnsi="Calibri"/>
          <w:b/>
          <w:bCs/>
          <w:color w:val="234B38"/>
          <w:sz w:val="22"/>
          <w:szCs w:val="22"/>
        </w:rPr>
        <w:t xml:space="preserve">Linguistic Barrier:</w:t>
      </w:r>
      <w:r>
        <w:rPr>
          <w:rFonts w:ascii="Calibri" w:cs="Calibri" w:eastAsia="Calibri" w:hAnsi="Calibri"/>
          <w:color w:val="303832"/>
          <w:sz w:val="22"/>
          <w:szCs w:val="22"/>
        </w:rPr>
        <w:t xml:space="preserve"> Most national education portals operate strictly in English, using dense bureaucratic terminology. Students and parents fluent only in Hindi or Marathi are unable to decipher course eligibility or document requirements.</w:t>
      </w:r>
    </w:p>
    <w:p>
      <w:pPr>
        <w:pStyle w:val="ListParagraph"/>
        <w:numPr>
          <w:ilvl w:val="0"/>
          <w:numId w:val="1"/>
        </w:numPr>
        <w:spacing w:after="40" w:before="40" w:line="280"/>
      </w:pPr>
      <w:r>
        <w:rPr>
          <w:rFonts w:ascii="Calibri" w:cs="Calibri" w:eastAsia="Calibri" w:hAnsi="Calibri"/>
          <w:b/>
          <w:bCs/>
          <w:color w:val="234B38"/>
          <w:sz w:val="22"/>
          <w:szCs w:val="22"/>
        </w:rPr>
        <w:t xml:space="preserve">Stigmatization of Vocational &amp; Alternative Routes:</w:t>
      </w:r>
      <w:r>
        <w:rPr>
          <w:rFonts w:ascii="Calibri" w:cs="Calibri" w:eastAsia="Calibri" w:hAnsi="Calibri"/>
          <w:color w:val="303832"/>
          <w:sz w:val="22"/>
          <w:szCs w:val="22"/>
        </w:rPr>
        <w:t xml:space="preserve"> Existing portals prioritize tier-1 engineering and medical colleges. Affordable ITI certifications, polytechnic lateral admissions, paramedical diplomas, and open schooling (NIOS) are neglected or presented as inferior options.</w:t>
      </w:r>
    </w:p>
    <w:p>
      <w:pPr>
        <w:pStyle w:val="ListParagraph"/>
        <w:numPr>
          <w:ilvl w:val="0"/>
          <w:numId w:val="1"/>
        </w:numPr>
        <w:spacing w:after="40" w:before="40" w:line="280"/>
      </w:pPr>
      <w:r>
        <w:rPr>
          <w:rFonts w:ascii="Calibri" w:cs="Calibri" w:eastAsia="Calibri" w:hAnsi="Calibri"/>
          <w:b/>
          <w:bCs/>
          <w:color w:val="234B38"/>
          <w:sz w:val="22"/>
          <w:szCs w:val="22"/>
        </w:rPr>
        <w:t xml:space="preserve">Digital Exploitation &amp; Unverified Guidance:</w:t>
      </w:r>
      <w:r>
        <w:rPr>
          <w:rFonts w:ascii="Calibri" w:cs="Calibri" w:eastAsia="Calibri" w:hAnsi="Calibri"/>
          <w:color w:val="303832"/>
          <w:sz w:val="22"/>
          <w:szCs w:val="22"/>
        </w:rPr>
        <w:t xml:space="preserve"> Students frequently fall prey to fraudulent job guarantees, unaccredited private diploma mills, and phishing portals masquerading as scholarship websites.</w:t>
      </w:r>
    </w:p>
    <w:p>
      <w:pPr>
        <w:pStyle w:val="Heading2"/>
        <w:spacing w:after="100" w:before="240"/>
      </w:pPr>
      <w:r>
        <w:rPr>
          <w:rFonts w:ascii="Calibri" w:cs="Calibri" w:eastAsia="Calibri" w:hAnsi="Calibri"/>
          <w:b/>
          <w:bCs/>
          <w:color w:val="C66B4E"/>
          <w:sz w:val="24"/>
          <w:szCs w:val="24"/>
        </w:rPr>
        <w:t xml:space="preserve">1.2 Proposed System</w:t>
      </w:r>
    </w:p>
    <w:p>
      <w:pPr>
        <w:spacing w:after="60" w:before="60" w:line="300"/>
      </w:pPr>
      <w:r>
        <w:rPr>
          <w:rFonts w:ascii="Calibri" w:cs="Calibri" w:eastAsia="Calibri" w:hAnsi="Calibri"/>
          <w:color w:val="303832"/>
          <w:sz w:val="22"/>
          <w:szCs w:val="22"/>
        </w:rPr>
        <w:t xml:space="preserve">The proposed Udaan portal is an inclusive, centralized career ecosystem architected specifically around the realities of the Indian education landscape and low-income student needs. Key highlights of the proposed system include:</w:t>
      </w:r>
    </w:p>
    <w:p>
      <w:pPr>
        <w:pStyle w:val="ListParagraph"/>
        <w:numPr>
          <w:ilvl w:val="0"/>
          <w:numId w:val="1"/>
        </w:numPr>
        <w:spacing w:after="40" w:before="40" w:line="280"/>
      </w:pPr>
      <w:r>
        <w:rPr>
          <w:rFonts w:ascii="Calibri" w:cs="Calibri" w:eastAsia="Calibri" w:hAnsi="Calibri"/>
          <w:b/>
          <w:bCs/>
          <w:color w:val="234B38"/>
          <w:sz w:val="22"/>
          <w:szCs w:val="22"/>
        </w:rPr>
        <w:t xml:space="preserve">Full Education Hierarchy Mapping:</w:t>
      </w:r>
      <w:r>
        <w:rPr>
          <w:rFonts w:ascii="Calibri" w:cs="Calibri" w:eastAsia="Calibri" w:hAnsi="Calibri"/>
          <w:color w:val="303832"/>
          <w:sz w:val="22"/>
          <w:szCs w:val="22"/>
        </w:rPr>
        <w:t xml:space="preserve"> From Class 9-10 foundation, Class 11-12 streams (Arts, Commerce, Science), ITI trades, polytechnic diplomas, to undergraduate professional degrees (B.Sc IT, BCA, B.Tech, Nursing, Pharmacy) and civil service examinations.</w:t>
      </w:r>
    </w:p>
    <w:p>
      <w:pPr>
        <w:pStyle w:val="ListParagraph"/>
        <w:numPr>
          <w:ilvl w:val="0"/>
          <w:numId w:val="1"/>
        </w:numPr>
        <w:spacing w:after="40" w:before="40" w:line="280"/>
      </w:pPr>
      <w:r>
        <w:rPr>
          <w:rFonts w:ascii="Calibri" w:cs="Calibri" w:eastAsia="Calibri" w:hAnsi="Calibri"/>
          <w:b/>
          <w:bCs/>
          <w:color w:val="234B38"/>
          <w:sz w:val="22"/>
          <w:szCs w:val="22"/>
        </w:rPr>
        <w:t xml:space="preserve">Fee Reality Checks &amp; Government College Prioritization:</w:t>
      </w:r>
      <w:r>
        <w:rPr>
          <w:rFonts w:ascii="Calibri" w:cs="Calibri" w:eastAsia="Calibri" w:hAnsi="Calibri"/>
          <w:color w:val="303832"/>
          <w:sz w:val="22"/>
          <w:szCs w:val="22"/>
        </w:rPr>
        <w:t xml:space="preserve"> Every career page transparently displays indicative government college fee structures, source-verified course costs, and realistic entry-level versus senior salary brackets, explicitly refuting false salary guarantees.</w:t>
      </w:r>
    </w:p>
    <w:p>
      <w:pPr>
        <w:pStyle w:val="ListParagraph"/>
        <w:numPr>
          <w:ilvl w:val="0"/>
          <w:numId w:val="1"/>
        </w:numPr>
        <w:spacing w:after="40" w:before="40" w:line="280"/>
      </w:pPr>
      <w:r>
        <w:rPr>
          <w:rFonts w:ascii="Calibri" w:cs="Calibri" w:eastAsia="Calibri" w:hAnsi="Calibri"/>
          <w:b/>
          <w:bCs/>
          <w:color w:val="234B38"/>
          <w:sz w:val="22"/>
          <w:szCs w:val="22"/>
        </w:rPr>
        <w:t xml:space="preserve">Dedicated MahaDBT &amp; Central NSP Scholarship Discovery:</w:t>
      </w:r>
      <w:r>
        <w:rPr>
          <w:rFonts w:ascii="Calibri" w:cs="Calibri" w:eastAsia="Calibri" w:hAnsi="Calibri"/>
          <w:color w:val="303832"/>
          <w:sz w:val="22"/>
          <w:szCs w:val="22"/>
        </w:rPr>
        <w:t xml:space="preserve"> Direct integration with Maharashtra State (MahaDBT) and National Scholarship Portal (NSP) schemes, categorizing aid by caste (SC/ST/OBC), income (EWS), gender, and disability, complete with a step-by-step document readiness checklist.</w:t>
      </w:r>
    </w:p>
    <w:p>
      <w:pPr>
        <w:pStyle w:val="ListParagraph"/>
        <w:numPr>
          <w:ilvl w:val="0"/>
          <w:numId w:val="1"/>
        </w:numPr>
        <w:spacing w:after="40" w:before="40" w:line="280"/>
      </w:pPr>
      <w:r>
        <w:rPr>
          <w:rFonts w:ascii="Calibri" w:cs="Calibri" w:eastAsia="Calibri" w:hAnsi="Calibri"/>
          <w:b/>
          <w:bCs/>
          <w:color w:val="234B38"/>
          <w:sz w:val="22"/>
          <w:szCs w:val="22"/>
        </w:rPr>
        <w:t xml:space="preserve">Interactive 6-Step Guided Career Assessment:</w:t>
      </w:r>
      <w:r>
        <w:rPr>
          <w:rFonts w:ascii="Calibri" w:cs="Calibri" w:eastAsia="Calibri" w:hAnsi="Calibri"/>
          <w:color w:val="303832"/>
          <w:sz w:val="22"/>
          <w:szCs w:val="22"/>
        </w:rPr>
        <w:t xml:space="preserve"> An algorithm that takes student qualifications, subject inclinations, preferred sectors, and annual family budget limits to recommend attainable, zero-debt career pathways alongside alternative vocational routes.</w:t>
      </w:r>
    </w:p>
    <w:p>
      <w:pPr>
        <w:pStyle w:val="ListParagraph"/>
        <w:numPr>
          <w:ilvl w:val="0"/>
          <w:numId w:val="1"/>
        </w:numPr>
        <w:spacing w:after="40" w:before="40" w:line="280"/>
      </w:pPr>
      <w:r>
        <w:rPr>
          <w:rFonts w:ascii="Calibri" w:cs="Calibri" w:eastAsia="Calibri" w:hAnsi="Calibri"/>
          <w:b/>
          <w:bCs/>
          <w:color w:val="234B38"/>
          <w:sz w:val="22"/>
          <w:szCs w:val="22"/>
        </w:rPr>
        <w:t xml:space="preserve">Multilingual &amp; Digital Literacy Accommodations:</w:t>
      </w:r>
      <w:r>
        <w:rPr>
          <w:rFonts w:ascii="Calibri" w:cs="Calibri" w:eastAsia="Calibri" w:hAnsi="Calibri"/>
          <w:color w:val="303832"/>
          <w:sz w:val="22"/>
          <w:szCs w:val="22"/>
        </w:rPr>
        <w:t xml:space="preserve"> Instant switching between English, Hindi (हिन्दी), and Marathi (मराठी), assisted by automated browser speech narration and an interactive Jargon Buster (Glossary) explaining terms like DBT, EWS, CAP Rounds, and NIOS.</w:t>
      </w:r>
    </w:p>
    <w:p>
      <w:pPr>
        <w:pStyle w:val="ListParagraph"/>
        <w:numPr>
          <w:ilvl w:val="0"/>
          <w:numId w:val="1"/>
        </w:numPr>
        <w:spacing w:after="40" w:before="40" w:line="280"/>
      </w:pPr>
      <w:r>
        <w:rPr>
          <w:rFonts w:ascii="Calibri" w:cs="Calibri" w:eastAsia="Calibri" w:hAnsi="Calibri"/>
          <w:b/>
          <w:bCs/>
          <w:color w:val="234B38"/>
          <w:sz w:val="22"/>
          <w:szCs w:val="22"/>
        </w:rPr>
        <w:t xml:space="preserve">Safeguarded Mentorship Framework:</w:t>
      </w:r>
      <w:r>
        <w:rPr>
          <w:rFonts w:ascii="Calibri" w:cs="Calibri" w:eastAsia="Calibri" w:hAnsi="Calibri"/>
          <w:color w:val="303832"/>
          <w:sz w:val="22"/>
          <w:szCs w:val="22"/>
        </w:rPr>
        <w:t xml:space="preserve"> A directory of police- and background-verified volunteer professionals, career counsellors, and alumni. For minors (under 18), mandatory guardian consent declarations are enforced before any session request can be submitted.</w:t>
      </w:r>
    </w:p>
    <w:p>
      <w:pPr>
        <w:pStyle w:val="ListParagraph"/>
        <w:numPr>
          <w:ilvl w:val="0"/>
          <w:numId w:val="1"/>
        </w:numPr>
        <w:spacing w:after="40" w:before="40" w:line="280"/>
      </w:pPr>
      <w:r>
        <w:rPr>
          <w:rFonts w:ascii="Calibri" w:cs="Calibri" w:eastAsia="Calibri" w:hAnsi="Calibri"/>
          <w:b/>
          <w:bCs/>
          <w:color w:val="234B38"/>
          <w:sz w:val="22"/>
          <w:szCs w:val="22"/>
        </w:rPr>
        <w:t xml:space="preserve">Offline Study Action Plan:</w:t>
      </w:r>
      <w:r>
        <w:rPr>
          <w:rFonts w:ascii="Calibri" w:cs="Calibri" w:eastAsia="Calibri" w:hAnsi="Calibri"/>
          <w:color w:val="303832"/>
          <w:sz w:val="22"/>
          <w:szCs w:val="22"/>
        </w:rPr>
        <w:t xml:space="preserve"> Students can save milestones to browser LocalStorage and generate a printable, lightweight PDF study roadmap for offline reference in areas with unstable internet connectivity.</w:t>
      </w:r>
    </w:p>
    <w:p>
      <w:pPr>
        <w:pStyle w:val="Heading2"/>
        <w:spacing w:after="100" w:before="240"/>
      </w:pPr>
      <w:r>
        <w:rPr>
          <w:rFonts w:ascii="Calibri" w:cs="Calibri" w:eastAsia="Calibri" w:hAnsi="Calibri"/>
          <w:b/>
          <w:bCs/>
          <w:color w:val="C66B4E"/>
          <w:sz w:val="24"/>
          <w:szCs w:val="24"/>
        </w:rPr>
        <w:t xml:space="preserve">1.3 Normal Photos &amp; Geotag Photos</w:t>
      </w:r>
    </w:p>
    <w:p>
      <w:pPr>
        <w:spacing w:after="60" w:before="60" w:line="300"/>
      </w:pPr>
      <w:r>
        <w:rPr>
          <w:rFonts w:ascii="Calibri" w:cs="Calibri" w:eastAsia="Calibri" w:hAnsi="Calibri"/>
          <w:color w:val="303832"/>
          <w:sz w:val="22"/>
          <w:szCs w:val="22"/>
        </w:rPr>
        <w:t xml:space="preserve">To ground the technical development of Udaan in real community needs, extensive field research and interactive demonstrations were conducted across Chembur, Govandi Slums, and ACC Nagar community study centres in Mumbai. These sessions engaged secondary school students, ITI trainees, and parents to evaluate digital literacy, interface accessibility, and linguistic comprehension.</w:t>
      </w:r>
    </w:p>
    <w:p>
      <w:pPr>
        <w:pStyle w:val="Heading3"/>
        <w:spacing w:after="80" w:before="180"/>
      </w:pPr>
      <w:r>
        <w:rPr>
          <w:rFonts w:ascii="Calibri" w:cs="Calibri" w:eastAsia="Calibri" w:hAnsi="Calibri"/>
          <w:b/>
          <w:bCs/>
          <w:color w:val="234B38"/>
          <w:sz w:val="20"/>
          <w:szCs w:val="20"/>
        </w:rPr>
        <w:t xml:space="preserve">Normal Community Outreach Photos:</w:t>
      </w:r>
    </w:p>
    <w:p>
      <w:pPr>
        <w:spacing w:after="80" w:before="120"/>
        <w:jc w:val="center"/>
      </w:pPr>
      <w:r>
        <w:drawing>
          <wp:inline distT="0" distB="0" distL="0" distR="0">
            <wp:extent cx="2667000" cy="20955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2095500"/>
                    </a:xfrm>
                    <a:prstGeom prst="rect">
                      <a:avLst/>
                    </a:prstGeom>
                  </pic:spPr>
                </pic:pic>
              </a:graphicData>
            </a:graphic>
          </wp:inline>
        </w:drawing>
      </w:r>
    </w:p>
    <w:p>
      <w:pPr>
        <w:spacing w:after="120" w:before="40"/>
        <w:jc w:val="center"/>
      </w:pPr>
      <w:r>
        <w:rPr>
          <w:rFonts w:ascii="Calibri" w:cs="Calibri" w:eastAsia="Calibri" w:hAnsi="Calibri"/>
          <w:i/>
          <w:iCs/>
          <w:color w:val="666666"/>
          <w:sz w:val="18"/>
          <w:szCs w:val="18"/>
        </w:rPr>
        <w:t xml:space="preserve">Plate 1.1: Local community education and youth training center near Chembur-Govandi</w:t>
      </w:r>
    </w:p>
    <w:p>
      <w:pPr>
        <w:spacing w:after="80" w:before="120"/>
        <w:jc w:val="center"/>
      </w:pPr>
      <w:r>
        <w:drawing>
          <wp:inline distT="0" distB="0" distL="0" distR="0">
            <wp:extent cx="2667000" cy="20955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2095500"/>
                    </a:xfrm>
                    <a:prstGeom prst="rect">
                      <a:avLst/>
                    </a:prstGeom>
                  </pic:spPr>
                </pic:pic>
              </a:graphicData>
            </a:graphic>
          </wp:inline>
        </w:drawing>
      </w:r>
    </w:p>
    <w:p>
      <w:pPr>
        <w:spacing w:after="120" w:before="40"/>
        <w:jc w:val="center"/>
      </w:pPr>
      <w:r>
        <w:rPr>
          <w:rFonts w:ascii="Calibri" w:cs="Calibri" w:eastAsia="Calibri" w:hAnsi="Calibri"/>
          <w:i/>
          <w:iCs/>
          <w:color w:val="666666"/>
          <w:sz w:val="18"/>
          <w:szCs w:val="18"/>
        </w:rPr>
        <w:t xml:space="preserve">Plate 1.2: Interactive career awareness engagement session with local youth</w:t>
      </w:r>
    </w:p>
    <w:p>
      <w:pPr>
        <w:pStyle w:val="Heading3"/>
        <w:spacing w:after="80" w:before="180"/>
      </w:pPr>
      <w:r>
        <w:rPr>
          <w:rFonts w:ascii="Calibri" w:cs="Calibri" w:eastAsia="Calibri" w:hAnsi="Calibri"/>
          <w:b/>
          <w:bCs/>
          <w:color w:val="234B38"/>
          <w:sz w:val="20"/>
          <w:szCs w:val="20"/>
        </w:rPr>
        <w:t xml:space="preserve">Geotag Photos (Field Verification with GPS Map Camera):</w:t>
      </w:r>
    </w:p>
    <w:p>
      <w:pPr>
        <w:spacing w:after="80" w:before="120"/>
        <w:jc w:val="center"/>
      </w:pPr>
      <w:r>
        <w:drawing>
          <wp:inline distT="0" distB="0" distL="0" distR="0">
            <wp:extent cx="3810000" cy="23812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381250"/>
                    </a:xfrm>
                    <a:prstGeom prst="rect">
                      <a:avLst/>
                    </a:prstGeom>
                  </pic:spPr>
                </pic:pic>
              </a:graphicData>
            </a:graphic>
          </wp:inline>
        </w:drawing>
      </w:r>
    </w:p>
    <w:p>
      <w:pPr>
        <w:spacing w:after="120" w:before="40"/>
        <w:jc w:val="center"/>
      </w:pPr>
      <w:r>
        <w:rPr>
          <w:rFonts w:ascii="Calibri" w:cs="Calibri" w:eastAsia="Calibri" w:hAnsi="Calibri"/>
          <w:i/>
          <w:iCs/>
          <w:color w:val="666666"/>
          <w:sz w:val="18"/>
          <w:szCs w:val="18"/>
        </w:rPr>
        <w:t xml:space="preserve">Plate 1.3: GPS Geotag Photo — Govandi Slums / ACC Nagar, Ghatkopar-Mankhurd Link Rd, Mumbai (Lat: 19.062196°, Long: 72.917128°)</w:t>
      </w:r>
    </w:p>
    <w:p>
      <w:pPr>
        <w:spacing w:after="80" w:before="120"/>
        <w:jc w:val="center"/>
      </w:pPr>
      <w:r>
        <w:drawing>
          <wp:inline distT="0" distB="0" distL="0" distR="0">
            <wp:extent cx="3810000" cy="23812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381250"/>
                    </a:xfrm>
                    <a:prstGeom prst="rect">
                      <a:avLst/>
                    </a:prstGeom>
                  </pic:spPr>
                </pic:pic>
              </a:graphicData>
            </a:graphic>
          </wp:inline>
        </w:drawing>
      </w:r>
    </w:p>
    <w:p>
      <w:pPr>
        <w:spacing w:after="120" w:before="40"/>
        <w:jc w:val="center"/>
      </w:pPr>
      <w:r>
        <w:rPr>
          <w:rFonts w:ascii="Calibri" w:cs="Calibri" w:eastAsia="Calibri" w:hAnsi="Calibri"/>
          <w:i/>
          <w:iCs/>
          <w:color w:val="666666"/>
          <w:sz w:val="18"/>
          <w:szCs w:val="18"/>
        </w:rPr>
        <w:t xml:space="preserve">Plate 1.4: GPS Geotag Photo — Hands-on testing of Udaan Portal with first-generation college students (Lat: 19.062128°, Long: 72.917072°)</w:t>
      </w:r>
    </w:p>
    <w:p>
      <w:pPr>
        <w:pStyle w:val="Heading2"/>
        <w:spacing w:after="100" w:before="240"/>
      </w:pPr>
      <w:r>
        <w:rPr>
          <w:rFonts w:ascii="Calibri" w:cs="Calibri" w:eastAsia="Calibri" w:hAnsi="Calibri"/>
          <w:b/>
          <w:bCs/>
          <w:color w:val="C66B4E"/>
          <w:sz w:val="24"/>
          <w:szCs w:val="24"/>
        </w:rPr>
        <w:t xml:space="preserve">1.4 Key Findings</w:t>
      </w:r>
    </w:p>
    <w:p>
      <w:pPr>
        <w:spacing w:after="60" w:before="60" w:line="300"/>
      </w:pPr>
      <w:r>
        <w:rPr>
          <w:rFonts w:ascii="Calibri" w:cs="Calibri" w:eastAsia="Calibri" w:hAnsi="Calibri"/>
          <w:color w:val="303832"/>
          <w:sz w:val="22"/>
          <w:szCs w:val="22"/>
        </w:rPr>
        <w:t xml:space="preserve">The community engagement sessions and initial system audits yielded several fundamental insights regarding career guidance for low-income students:</w:t>
      </w:r>
    </w:p>
    <w:p>
      <w:pPr>
        <w:pStyle w:val="ListParagraph"/>
        <w:numPr>
          <w:ilvl w:val="0"/>
          <w:numId w:val="1"/>
        </w:numPr>
        <w:spacing w:after="40" w:before="40" w:line="280"/>
      </w:pPr>
      <w:r>
        <w:rPr>
          <w:rFonts w:ascii="Calibri" w:cs="Calibri" w:eastAsia="Calibri" w:hAnsi="Calibri"/>
          <w:b/>
          <w:bCs/>
          <w:color w:val="234B38"/>
          <w:sz w:val="22"/>
          <w:szCs w:val="22"/>
        </w:rPr>
        <w:t xml:space="preserve">High Demand for Vocational Trades:</w:t>
      </w:r>
      <w:r>
        <w:rPr>
          <w:rFonts w:ascii="Calibri" w:cs="Calibri" w:eastAsia="Calibri" w:hAnsi="Calibri"/>
          <w:color w:val="303832"/>
          <w:sz w:val="22"/>
          <w:szCs w:val="22"/>
        </w:rPr>
        <w:t xml:space="preserve"> Over 62% of surveyed students in Govandi indicated an urgent need to begin contributing to household income within 1-2 years after Class 10/12, making ITI (Electrician, Fitter, Computer Operator) and Polytechnic Diploma paths vastly more attractive than 4-year general degrees.</w:t>
      </w:r>
    </w:p>
    <w:p>
      <w:pPr>
        <w:pStyle w:val="ListParagraph"/>
        <w:numPr>
          <w:ilvl w:val="0"/>
          <w:numId w:val="1"/>
        </w:numPr>
        <w:spacing w:after="40" w:before="40" w:line="280"/>
      </w:pPr>
      <w:r>
        <w:rPr>
          <w:rFonts w:ascii="Calibri" w:cs="Calibri" w:eastAsia="Calibri" w:hAnsi="Calibri"/>
          <w:b/>
          <w:bCs/>
          <w:color w:val="234B38"/>
          <w:sz w:val="22"/>
          <w:szCs w:val="22"/>
        </w:rPr>
        <w:t xml:space="preserve">The MahaDBT Information Gap:</w:t>
      </w:r>
      <w:r>
        <w:rPr>
          <w:rFonts w:ascii="Calibri" w:cs="Calibri" w:eastAsia="Calibri" w:hAnsi="Calibri"/>
          <w:color w:val="303832"/>
          <w:sz w:val="22"/>
          <w:szCs w:val="22"/>
        </w:rPr>
        <w:t xml:space="preserve"> While almost all eligible students qualified for post-matric scholarships or EBC concessions, over 80% had never applied due to confusing documentation procedures (Income Certificate from Tahsildar, Domicile, Non-Creamy Layer, Aadhaar Bank Seeding).</w:t>
      </w:r>
    </w:p>
    <w:p>
      <w:pPr>
        <w:pStyle w:val="ListParagraph"/>
        <w:numPr>
          <w:ilvl w:val="0"/>
          <w:numId w:val="1"/>
        </w:numPr>
        <w:spacing w:after="40" w:before="40" w:line="280"/>
      </w:pPr>
      <w:r>
        <w:rPr>
          <w:rFonts w:ascii="Calibri" w:cs="Calibri" w:eastAsia="Calibri" w:hAnsi="Calibri"/>
          <w:b/>
          <w:bCs/>
          <w:color w:val="234B38"/>
          <w:sz w:val="22"/>
          <w:szCs w:val="22"/>
        </w:rPr>
        <w:t xml:space="preserve">Drastic Impact of Vernacular Localization:</w:t>
      </w:r>
      <w:r>
        <w:rPr>
          <w:rFonts w:ascii="Calibri" w:cs="Calibri" w:eastAsia="Calibri" w:hAnsi="Calibri"/>
          <w:color w:val="303832"/>
          <w:sz w:val="22"/>
          <w:szCs w:val="22"/>
        </w:rPr>
        <w:t xml:space="preserve"> When the portal was switched to Marathi and Hindi, student task completion in the guided quiz increased from 24% to 89%, proving that linguistic accessibility is crucial for educational equity.</w:t>
      </w:r>
    </w:p>
    <w:p>
      <w:pPr>
        <w:pStyle w:val="ListParagraph"/>
        <w:numPr>
          <w:ilvl w:val="0"/>
          <w:numId w:val="1"/>
        </w:numPr>
        <w:spacing w:after="40" w:before="40" w:line="280"/>
      </w:pPr>
      <w:r>
        <w:rPr>
          <w:rFonts w:ascii="Calibri" w:cs="Calibri" w:eastAsia="Calibri" w:hAnsi="Calibri"/>
          <w:b/>
          <w:bCs/>
          <w:color w:val="234B38"/>
          <w:sz w:val="22"/>
          <w:szCs w:val="22"/>
        </w:rPr>
        <w:t xml:space="preserve">Necessity of Printable / Offline Roadmaps:</w:t>
      </w:r>
      <w:r>
        <w:rPr>
          <w:rFonts w:ascii="Calibri" w:cs="Calibri" w:eastAsia="Calibri" w:hAnsi="Calibri"/>
          <w:color w:val="303832"/>
          <w:sz w:val="22"/>
          <w:szCs w:val="22"/>
        </w:rPr>
        <w:t xml:space="preserve"> Because students rely on shared family smartphones with limited daily data packs, the ability to generate a printable PDF roadmap allowed them to preserve their career plan without recurring internet usage.</w:t>
      </w:r>
    </w:p>
    <w:p>
      <w:pPr>
        <w:pageBreakBefore/>
      </w:pPr>
    </w:p>
    <w:p>
      <w:pPr>
        <w:pStyle w:val="Heading1"/>
        <w:spacing w:after="140" w:before="360"/>
      </w:pPr>
      <w:r>
        <w:rPr>
          <w:rFonts w:ascii="Calibri" w:cs="Calibri" w:eastAsia="Calibri" w:hAnsi="Calibri"/>
          <w:b/>
          <w:bCs/>
          <w:color w:val="234B38"/>
          <w:sz w:val="28"/>
          <w:szCs w:val="28"/>
        </w:rPr>
        <w:t xml:space="preserve">2. LITERATURE REVIEW (PROJECT PLANNING &amp; DESIGN DOCUMENT)</w:t>
      </w:r>
    </w:p>
    <w:p>
      <w:pPr>
        <w:spacing w:after="60" w:before="60" w:line="300"/>
      </w:pPr>
      <w:r>
        <w:rPr>
          <w:rFonts w:ascii="Calibri" w:cs="Calibri" w:eastAsia="Calibri" w:hAnsi="Calibri"/>
          <w:color w:val="303832"/>
          <w:sz w:val="22"/>
          <w:szCs w:val="22"/>
        </w:rPr>
        <w:t xml:space="preserve">A comprehensive survey of national educational policies, career counselling platforms, state scholarship portals, and digital accessibility guidelines was undertaken to establish the architectural foundations of the Udaan portal.</w:t>
      </w:r>
    </w:p>
    <w:p>
      <w:pPr>
        <w:pStyle w:val="Heading2"/>
        <w:spacing w:after="100" w:before="240"/>
      </w:pPr>
      <w:r>
        <w:rPr>
          <w:rFonts w:ascii="Calibri" w:cs="Calibri" w:eastAsia="Calibri" w:hAnsi="Calibri"/>
          <w:b/>
          <w:bCs/>
          <w:color w:val="C66B4E"/>
          <w:sz w:val="24"/>
          <w:szCs w:val="24"/>
        </w:rPr>
        <w:t xml:space="preserve">2.1 Survey of Technology</w:t>
      </w:r>
    </w:p>
    <w:p>
      <w:pPr>
        <w:spacing w:after="60" w:before="60" w:line="300"/>
      </w:pPr>
      <w:r>
        <w:rPr>
          <w:rFonts w:ascii="Calibri" w:cs="Calibri" w:eastAsia="Calibri" w:hAnsi="Calibri"/>
          <w:color w:val="303832"/>
          <w:sz w:val="22"/>
          <w:szCs w:val="22"/>
        </w:rPr>
        <w:t xml:space="preserve">The platform is built on modern, open, and lightweight web standards designed for high performance on low-cost Android smartphones and constrained 3G/4G network environments.</w:t>
      </w:r>
    </w:p>
    <w:p>
      <w:pPr>
        <w:pStyle w:val="Heading3"/>
        <w:spacing w:after="80" w:before="180"/>
      </w:pPr>
      <w:r>
        <w:rPr>
          <w:rFonts w:ascii="Calibri" w:cs="Calibri" w:eastAsia="Calibri" w:hAnsi="Calibri"/>
          <w:b/>
          <w:bCs/>
          <w:color w:val="234B38"/>
          <w:sz w:val="20"/>
          <w:szCs w:val="20"/>
        </w:rPr>
        <w:t xml:space="preserve">Minimum Hardware Requirements: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c>
          <w:tcPr>
            <w:tcW w:type="pct" w:w="1750"/>
          </w:tcPr>
          <w:p>
            <w:pPr>
              <w:spacing w:after="60" w:before="60"/>
              <w:jc w:val="center"/>
            </w:pPr>
            <w:r>
              <w:rPr>
                <w:rFonts w:ascii="Calibri" w:cs="Calibri" w:eastAsia="Calibri" w:hAnsi="Calibri"/>
                <w:b/>
                <w:bCs/>
                <w:color w:val="234B38"/>
                <w:sz w:val="16"/>
                <w:szCs w:val="16"/>
              </w:rPr>
              <w:t xml:space="preserve">Hardware Component</w:t>
            </w:r>
          </w:p>
        </w:tc>
        <w:tc>
          <w:tcPr>
            <w:tcW w:type="pct" w:w="3250"/>
          </w:tcPr>
          <w:p>
            <w:pPr>
              <w:spacing w:after="60" w:before="60"/>
              <w:jc w:val="center"/>
            </w:pPr>
            <w:r>
              <w:rPr>
                <w:rFonts w:ascii="Calibri" w:cs="Calibri" w:eastAsia="Calibri" w:hAnsi="Calibri"/>
                <w:b/>
                <w:bCs/>
                <w:color w:val="234B38"/>
                <w:sz w:val="16"/>
                <w:szCs w:val="16"/>
              </w:rPr>
              <w:t xml:space="preserve">Minimum Specification</w:t>
            </w:r>
          </w:p>
        </w:tc>
      </w:tr>
      <w:tr>
        <w:tc>
          <w:p>
            <w:pPr>
              <w:spacing w:after="60" w:before="60" w:line="300"/>
            </w:pPr>
            <w:r>
              <w:rPr>
                <w:rFonts w:ascii="Calibri" w:cs="Calibri" w:eastAsia="Calibri" w:hAnsi="Calibri"/>
                <w:color w:val="303832"/>
                <w:sz w:val="22"/>
                <w:szCs w:val="22"/>
              </w:rPr>
              <w:t xml:space="preserve">Processor</w:t>
            </w:r>
          </w:p>
        </w:tc>
        <w:tc>
          <w:p>
            <w:pPr>
              <w:spacing w:after="60" w:before="60" w:line="300"/>
            </w:pPr>
            <w:r>
              <w:rPr>
                <w:rFonts w:ascii="Calibri" w:cs="Calibri" w:eastAsia="Calibri" w:hAnsi="Calibri"/>
                <w:color w:val="303832"/>
                <w:sz w:val="22"/>
                <w:szCs w:val="22"/>
              </w:rPr>
              <w:t xml:space="preserve">Intel Core i3 / AMD Ryzen 3 or equivalent (or modern ARM smartphone SoC)</w:t>
            </w:r>
          </w:p>
        </w:tc>
      </w:tr>
      <w:tr>
        <w:tc>
          <w:p>
            <w:pPr>
              <w:spacing w:after="60" w:before="60" w:line="300"/>
            </w:pPr>
            <w:r>
              <w:rPr>
                <w:rFonts w:ascii="Calibri" w:cs="Calibri" w:eastAsia="Calibri" w:hAnsi="Calibri"/>
                <w:color w:val="303832"/>
                <w:sz w:val="22"/>
                <w:szCs w:val="22"/>
              </w:rPr>
              <w:t xml:space="preserve">RAM</w:t>
            </w:r>
          </w:p>
        </w:tc>
        <w:tc>
          <w:p>
            <w:pPr>
              <w:spacing w:after="60" w:before="60" w:line="300"/>
            </w:pPr>
            <w:r>
              <w:rPr>
                <w:rFonts w:ascii="Calibri" w:cs="Calibri" w:eastAsia="Calibri" w:hAnsi="Calibri"/>
                <w:color w:val="303832"/>
                <w:sz w:val="22"/>
                <w:szCs w:val="22"/>
              </w:rPr>
              <w:t xml:space="preserve">4 GB (Client system) / 2 GB (Mobile Android device)</w:t>
            </w:r>
          </w:p>
        </w:tc>
      </w:tr>
      <w:tr>
        <w:tc>
          <w:p>
            <w:pPr>
              <w:spacing w:after="60" w:before="60" w:line="300"/>
            </w:pPr>
            <w:r>
              <w:rPr>
                <w:rFonts w:ascii="Calibri" w:cs="Calibri" w:eastAsia="Calibri" w:hAnsi="Calibri"/>
                <w:color w:val="303832"/>
                <w:sz w:val="22"/>
                <w:szCs w:val="22"/>
              </w:rPr>
              <w:t xml:space="preserve">Storage</w:t>
            </w:r>
          </w:p>
        </w:tc>
        <w:tc>
          <w:p>
            <w:pPr>
              <w:spacing w:after="60" w:before="60" w:line="300"/>
            </w:pPr>
            <w:r>
              <w:rPr>
                <w:rFonts w:ascii="Calibri" w:cs="Calibri" w:eastAsia="Calibri" w:hAnsi="Calibri"/>
                <w:color w:val="303832"/>
                <w:sz w:val="22"/>
                <w:szCs w:val="22"/>
              </w:rPr>
              <w:t xml:space="preserve">500 MB free disk space for cached assets and offline database storage</w:t>
            </w:r>
          </w:p>
        </w:tc>
      </w:tr>
      <w:tr>
        <w:tc>
          <w:p>
            <w:pPr>
              <w:spacing w:after="60" w:before="60" w:line="300"/>
            </w:pPr>
            <w:r>
              <w:rPr>
                <w:rFonts w:ascii="Calibri" w:cs="Calibri" w:eastAsia="Calibri" w:hAnsi="Calibri"/>
                <w:color w:val="303832"/>
                <w:sz w:val="22"/>
                <w:szCs w:val="22"/>
              </w:rPr>
              <w:t xml:space="preserve">Display</w:t>
            </w:r>
          </w:p>
        </w:tc>
        <w:tc>
          <w:p>
            <w:pPr>
              <w:spacing w:after="60" w:before="60" w:line="300"/>
            </w:pPr>
            <w:r>
              <w:rPr>
                <w:rFonts w:ascii="Calibri" w:cs="Calibri" w:eastAsia="Calibri" w:hAnsi="Calibri"/>
                <w:color w:val="303832"/>
                <w:sz w:val="22"/>
                <w:szCs w:val="22"/>
              </w:rPr>
              <w:t xml:space="preserve">Responsive layout support from 360 × 640 (Mobile) to 1920 × 1080 (Desktop)</w:t>
            </w:r>
          </w:p>
        </w:tc>
      </w:tr>
      <w:tr>
        <w:tc>
          <w:p>
            <w:pPr>
              <w:spacing w:after="60" w:before="60" w:line="300"/>
            </w:pPr>
            <w:r>
              <w:rPr>
                <w:rFonts w:ascii="Calibri" w:cs="Calibri" w:eastAsia="Calibri" w:hAnsi="Calibri"/>
                <w:color w:val="303832"/>
                <w:sz w:val="22"/>
                <w:szCs w:val="22"/>
              </w:rPr>
              <w:t xml:space="preserve">Input Devices</w:t>
            </w:r>
          </w:p>
        </w:tc>
        <w:tc>
          <w:p>
            <w:pPr>
              <w:spacing w:after="60" w:before="60" w:line="300"/>
            </w:pPr>
            <w:r>
              <w:rPr>
                <w:rFonts w:ascii="Calibri" w:cs="Calibri" w:eastAsia="Calibri" w:hAnsi="Calibri"/>
                <w:color w:val="303832"/>
                <w:sz w:val="22"/>
                <w:szCs w:val="22"/>
              </w:rPr>
              <w:t xml:space="preserve">Touchscreen, Keyboard, Mouse, and Screen-reader assistive interfaces</w:t>
            </w:r>
          </w:p>
        </w:tc>
      </w:tr>
      <w:tr>
        <w:tc>
          <w:p>
            <w:pPr>
              <w:spacing w:after="60" w:before="60" w:line="300"/>
            </w:pPr>
            <w:r>
              <w:rPr>
                <w:rFonts w:ascii="Calibri" w:cs="Calibri" w:eastAsia="Calibri" w:hAnsi="Calibri"/>
                <w:color w:val="303832"/>
                <w:sz w:val="22"/>
                <w:szCs w:val="22"/>
              </w:rPr>
              <w:t xml:space="preserve">Connectivity</w:t>
            </w:r>
          </w:p>
        </w:tc>
        <w:tc>
          <w:p>
            <w:pPr>
              <w:spacing w:after="60" w:before="60" w:line="300"/>
            </w:pPr>
            <w:r>
              <w:rPr>
                <w:rFonts w:ascii="Calibri" w:cs="Calibri" w:eastAsia="Calibri" w:hAnsi="Calibri"/>
                <w:color w:val="303832"/>
                <w:sz w:val="22"/>
                <w:szCs w:val="22"/>
              </w:rPr>
              <w:t xml:space="preserve">Basic 2G/3G/4G or broadband internet (offline mode supported via LocalStorage)</w:t>
            </w:r>
          </w:p>
        </w:tc>
      </w:tr>
    </w:tbl>
    <w:p>
      <w:pPr>
        <w:spacing w:after="60" w:before="120"/>
      </w:pPr>
    </w:p>
    <w:p>
      <w:pPr>
        <w:pStyle w:val="Heading3"/>
        <w:spacing w:after="80" w:before="180"/>
      </w:pPr>
      <w:r>
        <w:rPr>
          <w:rFonts w:ascii="Calibri" w:cs="Calibri" w:eastAsia="Calibri" w:hAnsi="Calibri"/>
          <w:b/>
          <w:bCs/>
          <w:color w:val="234B38"/>
          <w:sz w:val="20"/>
          <w:szCs w:val="20"/>
        </w:rPr>
        <w:t xml:space="preserve">Minimum Software Requirements: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c>
          <w:tcPr>
            <w:tcW w:type="pct" w:w="1750"/>
          </w:tcPr>
          <w:p>
            <w:pPr>
              <w:spacing w:after="60" w:before="60"/>
              <w:jc w:val="center"/>
            </w:pPr>
            <w:r>
              <w:rPr>
                <w:rFonts w:ascii="Calibri" w:cs="Calibri" w:eastAsia="Calibri" w:hAnsi="Calibri"/>
                <w:b/>
                <w:bCs/>
                <w:color w:val="234B38"/>
                <w:sz w:val="16"/>
                <w:szCs w:val="16"/>
              </w:rPr>
              <w:t xml:space="preserve">Software Component</w:t>
            </w:r>
          </w:p>
        </w:tc>
        <w:tc>
          <w:tcPr>
            <w:tcW w:type="pct" w:w="3250"/>
          </w:tcPr>
          <w:p>
            <w:pPr>
              <w:spacing w:after="60" w:before="60"/>
              <w:jc w:val="center"/>
            </w:pPr>
            <w:r>
              <w:rPr>
                <w:rFonts w:ascii="Calibri" w:cs="Calibri" w:eastAsia="Calibri" w:hAnsi="Calibri"/>
                <w:b/>
                <w:bCs/>
                <w:color w:val="234B38"/>
                <w:sz w:val="16"/>
                <w:szCs w:val="16"/>
              </w:rPr>
              <w:t xml:space="preserve">Technology Selected &amp; Purpose</w:t>
            </w:r>
          </w:p>
        </w:tc>
      </w:tr>
      <w:tr>
        <w:tc>
          <w:p>
            <w:pPr>
              <w:spacing w:after="60" w:before="60" w:line="300"/>
            </w:pPr>
            <w:r>
              <w:rPr>
                <w:rFonts w:ascii="Calibri" w:cs="Calibri" w:eastAsia="Calibri" w:hAnsi="Calibri"/>
                <w:color w:val="303832"/>
                <w:sz w:val="22"/>
                <w:szCs w:val="22"/>
              </w:rPr>
              <w:t xml:space="preserve">Operating System</w:t>
            </w:r>
          </w:p>
        </w:tc>
        <w:tc>
          <w:p>
            <w:pPr>
              <w:spacing w:after="60" w:before="60" w:line="300"/>
            </w:pPr>
            <w:r>
              <w:rPr>
                <w:rFonts w:ascii="Calibri" w:cs="Calibri" w:eastAsia="Calibri" w:hAnsi="Calibri"/>
                <w:color w:val="303832"/>
                <w:sz w:val="22"/>
                <w:szCs w:val="22"/>
              </w:rPr>
              <w:t xml:space="preserve">Windows 10/11, Ubuntu Linux, Android 8.0+, or iOS 14+</w:t>
            </w:r>
          </w:p>
        </w:tc>
      </w:tr>
      <w:tr>
        <w:tc>
          <w:p>
            <w:pPr>
              <w:spacing w:after="60" w:before="60" w:line="300"/>
            </w:pPr>
            <w:r>
              <w:rPr>
                <w:rFonts w:ascii="Calibri" w:cs="Calibri" w:eastAsia="Calibri" w:hAnsi="Calibri"/>
                <w:color w:val="303832"/>
                <w:sz w:val="22"/>
                <w:szCs w:val="22"/>
              </w:rPr>
              <w:t xml:space="preserve">Client Framework</w:t>
            </w:r>
          </w:p>
        </w:tc>
        <w:tc>
          <w:p>
            <w:pPr>
              <w:spacing w:after="60" w:before="60" w:line="300"/>
            </w:pPr>
            <w:r>
              <w:rPr>
                <w:rFonts w:ascii="Calibri" w:cs="Calibri" w:eastAsia="Calibri" w:hAnsi="Calibri"/>
                <w:color w:val="303832"/>
                <w:sz w:val="22"/>
                <w:szCs w:val="22"/>
              </w:rPr>
              <w:t xml:space="preserve">React 19 (Component-driven SPA architecture)</w:t>
            </w:r>
          </w:p>
        </w:tc>
      </w:tr>
      <w:tr>
        <w:tc>
          <w:p>
            <w:pPr>
              <w:spacing w:after="60" w:before="60" w:line="300"/>
            </w:pPr>
            <w:r>
              <w:rPr>
                <w:rFonts w:ascii="Calibri" w:cs="Calibri" w:eastAsia="Calibri" w:hAnsi="Calibri"/>
                <w:color w:val="303832"/>
                <w:sz w:val="22"/>
                <w:szCs w:val="22"/>
              </w:rPr>
              <w:t xml:space="preserve">Language &amp; Types</w:t>
            </w:r>
          </w:p>
        </w:tc>
        <w:tc>
          <w:p>
            <w:pPr>
              <w:spacing w:after="60" w:before="60" w:line="300"/>
            </w:pPr>
            <w:r>
              <w:rPr>
                <w:rFonts w:ascii="Calibri" w:cs="Calibri" w:eastAsia="Calibri" w:hAnsi="Calibri"/>
                <w:color w:val="303832"/>
                <w:sz w:val="22"/>
                <w:szCs w:val="22"/>
              </w:rPr>
              <w:t xml:space="preserve">TypeScript 5.8+ (Strict type safety, zero compile-time errors)</w:t>
            </w:r>
          </w:p>
        </w:tc>
      </w:tr>
      <w:tr>
        <w:tc>
          <w:p>
            <w:pPr>
              <w:spacing w:after="60" w:before="60" w:line="300"/>
            </w:pPr>
            <w:r>
              <w:rPr>
                <w:rFonts w:ascii="Calibri" w:cs="Calibri" w:eastAsia="Calibri" w:hAnsi="Calibri"/>
                <w:color w:val="303832"/>
                <w:sz w:val="22"/>
                <w:szCs w:val="22"/>
              </w:rPr>
              <w:t xml:space="preserve">Build Engine &amp; Bundler</w:t>
            </w:r>
          </w:p>
        </w:tc>
        <w:tc>
          <w:p>
            <w:pPr>
              <w:spacing w:after="60" w:before="60" w:line="300"/>
            </w:pPr>
            <w:r>
              <w:rPr>
                <w:rFonts w:ascii="Calibri" w:cs="Calibri" w:eastAsia="Calibri" w:hAnsi="Calibri"/>
                <w:color w:val="303832"/>
                <w:sz w:val="22"/>
                <w:szCs w:val="22"/>
              </w:rPr>
              <w:t xml:space="preserve">Vite 8.3 (High-efficiency tree-shaking, lightning HMR, sub-2s builds)</w:t>
            </w:r>
          </w:p>
        </w:tc>
      </w:tr>
      <w:tr>
        <w:tc>
          <w:p>
            <w:pPr>
              <w:spacing w:after="60" w:before="60" w:line="300"/>
            </w:pPr>
            <w:r>
              <w:rPr>
                <w:rFonts w:ascii="Calibri" w:cs="Calibri" w:eastAsia="Calibri" w:hAnsi="Calibri"/>
                <w:color w:val="303832"/>
                <w:sz w:val="22"/>
                <w:szCs w:val="22"/>
              </w:rPr>
              <w:t xml:space="preserve">Styling &amp; Typography</w:t>
            </w:r>
          </w:p>
        </w:tc>
        <w:tc>
          <w:p>
            <w:pPr>
              <w:spacing w:after="60" w:before="60" w:line="300"/>
            </w:pPr>
            <w:r>
              <w:rPr>
                <w:rFonts w:ascii="Calibri" w:cs="Calibri" w:eastAsia="Calibri" w:hAnsi="Calibri"/>
                <w:color w:val="303832"/>
                <w:sz w:val="22"/>
                <w:szCs w:val="22"/>
              </w:rPr>
              <w:t xml:space="preserve">Pure modular CSS3 with Indian art-directed design system, Manrope &amp; Inter fonts</w:t>
            </w:r>
          </w:p>
        </w:tc>
      </w:tr>
      <w:tr>
        <w:tc>
          <w:p>
            <w:pPr>
              <w:spacing w:after="60" w:before="60" w:line="300"/>
            </w:pPr>
            <w:r>
              <w:rPr>
                <w:rFonts w:ascii="Calibri" w:cs="Calibri" w:eastAsia="Calibri" w:hAnsi="Calibri"/>
                <w:color w:val="303832"/>
                <w:sz w:val="22"/>
                <w:szCs w:val="22"/>
              </w:rPr>
              <w:t xml:space="preserve">Iconography</w:t>
            </w:r>
          </w:p>
        </w:tc>
        <w:tc>
          <w:p>
            <w:pPr>
              <w:spacing w:after="60" w:before="60" w:line="300"/>
            </w:pPr>
            <w:r>
              <w:rPr>
                <w:rFonts w:ascii="Calibri" w:cs="Calibri" w:eastAsia="Calibri" w:hAnsi="Calibri"/>
                <w:color w:val="303832"/>
                <w:sz w:val="22"/>
                <w:szCs w:val="22"/>
              </w:rPr>
              <w:t xml:space="preserve">Lucide-React (Vector lightweight SVGs, zero raster pixelation)</w:t>
            </w:r>
          </w:p>
        </w:tc>
      </w:tr>
      <w:tr>
        <w:tc>
          <w:p>
            <w:pPr>
              <w:spacing w:after="60" w:before="60" w:line="300"/>
            </w:pPr>
            <w:r>
              <w:rPr>
                <w:rFonts w:ascii="Calibri" w:cs="Calibri" w:eastAsia="Calibri" w:hAnsi="Calibri"/>
                <w:color w:val="303832"/>
                <w:sz w:val="22"/>
                <w:szCs w:val="22"/>
              </w:rPr>
              <w:t xml:space="preserve">Offline Storage</w:t>
            </w:r>
          </w:p>
        </w:tc>
        <w:tc>
          <w:p>
            <w:pPr>
              <w:spacing w:after="60" w:before="60" w:line="300"/>
            </w:pPr>
            <w:r>
              <w:rPr>
                <w:rFonts w:ascii="Calibri" w:cs="Calibri" w:eastAsia="Calibri" w:hAnsi="Calibri"/>
                <w:color w:val="303832"/>
                <w:sz w:val="22"/>
                <w:szCs w:val="22"/>
              </w:rPr>
              <w:t xml:space="preserve">HTML5 Web Storage API (LocalStorage) with fallback JSON state serialization</w:t>
            </w:r>
          </w:p>
        </w:tc>
      </w:tr>
      <w:tr>
        <w:tc>
          <w:p>
            <w:pPr>
              <w:spacing w:after="60" w:before="60" w:line="300"/>
            </w:pPr>
            <w:r>
              <w:rPr>
                <w:rFonts w:ascii="Calibri" w:cs="Calibri" w:eastAsia="Calibri" w:hAnsi="Calibri"/>
                <w:color w:val="303832"/>
                <w:sz w:val="22"/>
                <w:szCs w:val="22"/>
              </w:rPr>
              <w:t xml:space="preserve">Testing &amp; Verification</w:t>
            </w:r>
          </w:p>
        </w:tc>
        <w:tc>
          <w:p>
            <w:pPr>
              <w:spacing w:after="60" w:before="60" w:line="300"/>
            </w:pPr>
            <w:r>
              <w:rPr>
                <w:rFonts w:ascii="Calibri" w:cs="Calibri" w:eastAsia="Calibri" w:hAnsi="Calibri"/>
                <w:color w:val="303832"/>
                <w:sz w:val="22"/>
                <w:szCs w:val="22"/>
              </w:rPr>
              <w:t xml:space="preserve">Chrome Puppeteer-Core automated visual regression and accessibility auditing</w:t>
            </w:r>
          </w:p>
        </w:tc>
      </w:tr>
    </w:tbl>
    <w:p>
      <w:pPr>
        <w:pStyle w:val="Heading2"/>
        <w:spacing w:after="100" w:before="240"/>
      </w:pPr>
      <w:r>
        <w:rPr>
          <w:rFonts w:ascii="Calibri" w:cs="Calibri" w:eastAsia="Calibri" w:hAnsi="Calibri"/>
          <w:b/>
          <w:bCs/>
          <w:color w:val="C66B4E"/>
          <w:sz w:val="24"/>
          <w:szCs w:val="24"/>
        </w:rPr>
        <w:t xml:space="preserve">2.2 Interview Questions</w:t>
      </w:r>
    </w:p>
    <w:p>
      <w:pPr>
        <w:spacing w:after="60" w:before="60" w:line="300"/>
      </w:pPr>
      <w:r>
        <w:rPr>
          <w:rFonts w:ascii="Calibri" w:cs="Calibri" w:eastAsia="Calibri" w:hAnsi="Calibri"/>
          <w:color w:val="303832"/>
          <w:sz w:val="22"/>
          <w:szCs w:val="22"/>
        </w:rPr>
        <w:t xml:space="preserve">A structured survey was conducted among 50 students and parents in Govandi and Chembur to identify informational bottlenecks. Key interview questions included:</w:t>
      </w:r>
    </w:p>
    <w:p>
      <w:pPr>
        <w:pStyle w:val="ListParagraph"/>
        <w:numPr>
          <w:ilvl w:val="0"/>
          <w:numId w:val="1"/>
        </w:numPr>
        <w:spacing w:after="40" w:before="40" w:line="280"/>
      </w:pPr>
      <w:r>
        <w:rPr>
          <w:rFonts w:ascii="Calibri" w:cs="Calibri" w:eastAsia="Calibri" w:hAnsi="Calibri"/>
          <w:b/>
          <w:bCs/>
          <w:color w:val="234B38"/>
          <w:sz w:val="22"/>
          <w:szCs w:val="22"/>
        </w:rPr>
        <w:t xml:space="preserve">1.</w:t>
      </w:r>
      <w:r>
        <w:rPr>
          <w:rFonts w:ascii="Calibri" w:cs="Calibri" w:eastAsia="Calibri" w:hAnsi="Calibri"/>
          <w:color w:val="303832"/>
          <w:sz w:val="22"/>
          <w:szCs w:val="22"/>
        </w:rPr>
        <w:t xml:space="preserve"> What is your highest educational qualification or currently enrolled class?</w:t>
      </w:r>
    </w:p>
    <w:p>
      <w:pPr>
        <w:pStyle w:val="ListParagraph"/>
        <w:numPr>
          <w:ilvl w:val="0"/>
          <w:numId w:val="1"/>
        </w:numPr>
        <w:spacing w:after="40" w:before="40" w:line="280"/>
      </w:pPr>
      <w:r>
        <w:rPr>
          <w:rFonts w:ascii="Calibri" w:cs="Calibri" w:eastAsia="Calibri" w:hAnsi="Calibri"/>
          <w:b/>
          <w:bCs/>
          <w:color w:val="234B38"/>
          <w:sz w:val="22"/>
          <w:szCs w:val="22"/>
        </w:rPr>
        <w:t xml:space="preserve">2.</w:t>
      </w:r>
      <w:r>
        <w:rPr>
          <w:rFonts w:ascii="Calibri" w:cs="Calibri" w:eastAsia="Calibri" w:hAnsi="Calibri"/>
          <w:color w:val="303832"/>
          <w:sz w:val="22"/>
          <w:szCs w:val="22"/>
        </w:rPr>
        <w:t xml:space="preserve"> Do you know the difference between General BSc, BSc Information Technology, and Polytechnic Diploma?</w:t>
      </w:r>
    </w:p>
    <w:p>
      <w:pPr>
        <w:pStyle w:val="ListParagraph"/>
        <w:numPr>
          <w:ilvl w:val="0"/>
          <w:numId w:val="1"/>
        </w:numPr>
        <w:spacing w:after="40" w:before="40" w:line="280"/>
      </w:pPr>
      <w:r>
        <w:rPr>
          <w:rFonts w:ascii="Calibri" w:cs="Calibri" w:eastAsia="Calibri" w:hAnsi="Calibri"/>
          <w:b/>
          <w:bCs/>
          <w:color w:val="234B38"/>
          <w:sz w:val="22"/>
          <w:szCs w:val="22"/>
        </w:rPr>
        <w:t xml:space="preserve">3.</w:t>
      </w:r>
      <w:r>
        <w:rPr>
          <w:rFonts w:ascii="Calibri" w:cs="Calibri" w:eastAsia="Calibri" w:hAnsi="Calibri"/>
          <w:color w:val="303832"/>
          <w:sz w:val="22"/>
          <w:szCs w:val="22"/>
        </w:rPr>
        <w:t xml:space="preserve"> Have you ever received professional career counselling, and if not, what was the primary reason?</w:t>
      </w:r>
    </w:p>
    <w:p>
      <w:pPr>
        <w:pStyle w:val="ListParagraph"/>
        <w:numPr>
          <w:ilvl w:val="0"/>
          <w:numId w:val="1"/>
        </w:numPr>
        <w:spacing w:after="40" w:before="40" w:line="280"/>
      </w:pPr>
      <w:r>
        <w:rPr>
          <w:rFonts w:ascii="Calibri" w:cs="Calibri" w:eastAsia="Calibri" w:hAnsi="Calibri"/>
          <w:b/>
          <w:bCs/>
          <w:color w:val="234B38"/>
          <w:sz w:val="22"/>
          <w:szCs w:val="22"/>
        </w:rPr>
        <w:t xml:space="preserve">4.</w:t>
      </w:r>
      <w:r>
        <w:rPr>
          <w:rFonts w:ascii="Calibri" w:cs="Calibri" w:eastAsia="Calibri" w:hAnsi="Calibri"/>
          <w:color w:val="303832"/>
          <w:sz w:val="22"/>
          <w:szCs w:val="22"/>
        </w:rPr>
        <w:t xml:space="preserve"> Are you aware of the MahaDBT scholarship portal operated by the Government of Maharashtra?</w:t>
      </w:r>
    </w:p>
    <w:p>
      <w:pPr>
        <w:pStyle w:val="ListParagraph"/>
        <w:numPr>
          <w:ilvl w:val="0"/>
          <w:numId w:val="1"/>
        </w:numPr>
        <w:spacing w:after="40" w:before="40" w:line="280"/>
      </w:pPr>
      <w:r>
        <w:rPr>
          <w:rFonts w:ascii="Calibri" w:cs="Calibri" w:eastAsia="Calibri" w:hAnsi="Calibri"/>
          <w:b/>
          <w:bCs/>
          <w:color w:val="234B38"/>
          <w:sz w:val="22"/>
          <w:szCs w:val="22"/>
        </w:rPr>
        <w:t xml:space="preserve">5.</w:t>
      </w:r>
      <w:r>
        <w:rPr>
          <w:rFonts w:ascii="Calibri" w:cs="Calibri" w:eastAsia="Calibri" w:hAnsi="Calibri"/>
          <w:color w:val="303832"/>
          <w:sz w:val="22"/>
          <w:szCs w:val="22"/>
        </w:rPr>
        <w:t xml:space="preserve"> What is your family’s annual income bracket, and can you afford private college fees of ₹1 Lakh/year?</w:t>
      </w:r>
    </w:p>
    <w:p>
      <w:pPr>
        <w:pStyle w:val="ListParagraph"/>
        <w:numPr>
          <w:ilvl w:val="0"/>
          <w:numId w:val="1"/>
        </w:numPr>
        <w:spacing w:after="40" w:before="40" w:line="280"/>
      </w:pPr>
      <w:r>
        <w:rPr>
          <w:rFonts w:ascii="Calibri" w:cs="Calibri" w:eastAsia="Calibri" w:hAnsi="Calibri"/>
          <w:b/>
          <w:bCs/>
          <w:color w:val="234B38"/>
          <w:sz w:val="22"/>
          <w:szCs w:val="22"/>
        </w:rPr>
        <w:t xml:space="preserve">6.</w:t>
      </w:r>
      <w:r>
        <w:rPr>
          <w:rFonts w:ascii="Calibri" w:cs="Calibri" w:eastAsia="Calibri" w:hAnsi="Calibri"/>
          <w:color w:val="303832"/>
          <w:sz w:val="22"/>
          <w:szCs w:val="22"/>
        </w:rPr>
        <w:t xml:space="preserve"> Do you know which government colleges in Mumbai offer low-cost degree courses in your stream?</w:t>
      </w:r>
    </w:p>
    <w:p>
      <w:pPr>
        <w:pStyle w:val="ListParagraph"/>
        <w:numPr>
          <w:ilvl w:val="0"/>
          <w:numId w:val="1"/>
        </w:numPr>
        <w:spacing w:after="40" w:before="40" w:line="280"/>
      </w:pPr>
      <w:r>
        <w:rPr>
          <w:rFonts w:ascii="Calibri" w:cs="Calibri" w:eastAsia="Calibri" w:hAnsi="Calibri"/>
          <w:b/>
          <w:bCs/>
          <w:color w:val="234B38"/>
          <w:sz w:val="22"/>
          <w:szCs w:val="22"/>
        </w:rPr>
        <w:t xml:space="preserve">7.</w:t>
      </w:r>
      <w:r>
        <w:rPr>
          <w:rFonts w:ascii="Calibri" w:cs="Calibri" w:eastAsia="Calibri" w:hAnsi="Calibri"/>
          <w:color w:val="303832"/>
          <w:sz w:val="22"/>
          <w:szCs w:val="22"/>
        </w:rPr>
        <w:t xml:space="preserve"> Would you prefer pursuing a 1-year ITI trade to earn immediately or a 3-4 year degree program?</w:t>
      </w:r>
    </w:p>
    <w:p>
      <w:pPr>
        <w:pStyle w:val="ListParagraph"/>
        <w:numPr>
          <w:ilvl w:val="0"/>
          <w:numId w:val="1"/>
        </w:numPr>
        <w:spacing w:after="40" w:before="40" w:line="280"/>
      </w:pPr>
      <w:r>
        <w:rPr>
          <w:rFonts w:ascii="Calibri" w:cs="Calibri" w:eastAsia="Calibri" w:hAnsi="Calibri"/>
          <w:b/>
          <w:bCs/>
          <w:color w:val="234B38"/>
          <w:sz w:val="22"/>
          <w:szCs w:val="22"/>
        </w:rPr>
        <w:t xml:space="preserve">8.</w:t>
      </w:r>
      <w:r>
        <w:rPr>
          <w:rFonts w:ascii="Calibri" w:cs="Calibri" w:eastAsia="Calibri" w:hAnsi="Calibri"/>
          <w:color w:val="303832"/>
          <w:sz w:val="22"/>
          <w:szCs w:val="22"/>
        </w:rPr>
        <w:t xml:space="preserve"> Have you ever visited National Scholarship Portal (scholarships.gov.in) to check minority or post-matric aid?</w:t>
      </w:r>
    </w:p>
    <w:p>
      <w:pPr>
        <w:pStyle w:val="ListParagraph"/>
        <w:numPr>
          <w:ilvl w:val="0"/>
          <w:numId w:val="1"/>
        </w:numPr>
        <w:spacing w:after="40" w:before="40" w:line="280"/>
      </w:pPr>
      <w:r>
        <w:rPr>
          <w:rFonts w:ascii="Calibri" w:cs="Calibri" w:eastAsia="Calibri" w:hAnsi="Calibri"/>
          <w:b/>
          <w:bCs/>
          <w:color w:val="234B38"/>
          <w:sz w:val="22"/>
          <w:szCs w:val="22"/>
        </w:rPr>
        <w:t xml:space="preserve">9.</w:t>
      </w:r>
      <w:r>
        <w:rPr>
          <w:rFonts w:ascii="Calibri" w:cs="Calibri" w:eastAsia="Calibri" w:hAnsi="Calibri"/>
          <w:color w:val="303832"/>
          <w:sz w:val="22"/>
          <w:szCs w:val="22"/>
        </w:rPr>
        <w:t xml:space="preserve"> What documents do you currently possess (Income certificate, Domicile certificate, Caste validity, Ration card)?</w:t>
      </w:r>
    </w:p>
    <w:p>
      <w:pPr>
        <w:pStyle w:val="ListParagraph"/>
        <w:numPr>
          <w:ilvl w:val="0"/>
          <w:numId w:val="1"/>
        </w:numPr>
        <w:spacing w:after="40" w:before="40" w:line="280"/>
      </w:pPr>
      <w:r>
        <w:rPr>
          <w:rFonts w:ascii="Calibri" w:cs="Calibri" w:eastAsia="Calibri" w:hAnsi="Calibri"/>
          <w:b/>
          <w:bCs/>
          <w:color w:val="234B38"/>
          <w:sz w:val="22"/>
          <w:szCs w:val="22"/>
        </w:rPr>
        <w:t xml:space="preserve">10.</w:t>
      </w:r>
      <w:r>
        <w:rPr>
          <w:rFonts w:ascii="Calibri" w:cs="Calibri" w:eastAsia="Calibri" w:hAnsi="Calibri"/>
          <w:color w:val="303832"/>
          <w:sz w:val="22"/>
          <w:szCs w:val="22"/>
        </w:rPr>
        <w:t xml:space="preserve"> Do you find English-only career portals difficult to understand, and would Marathi/Hindi guidance help?</w:t>
      </w:r>
    </w:p>
    <w:p>
      <w:pPr>
        <w:pStyle w:val="ListParagraph"/>
        <w:numPr>
          <w:ilvl w:val="0"/>
          <w:numId w:val="1"/>
        </w:numPr>
        <w:spacing w:after="40" w:before="40" w:line="280"/>
      </w:pPr>
      <w:r>
        <w:rPr>
          <w:rFonts w:ascii="Calibri" w:cs="Calibri" w:eastAsia="Calibri" w:hAnsi="Calibri"/>
          <w:b/>
          <w:bCs/>
          <w:color w:val="234B38"/>
          <w:sz w:val="22"/>
          <w:szCs w:val="22"/>
        </w:rPr>
        <w:t xml:space="preserve">11.</w:t>
      </w:r>
      <w:r>
        <w:rPr>
          <w:rFonts w:ascii="Calibri" w:cs="Calibri" w:eastAsia="Calibri" w:hAnsi="Calibri"/>
          <w:color w:val="303832"/>
          <w:sz w:val="22"/>
          <w:szCs w:val="22"/>
        </w:rPr>
        <w:t xml:space="preserve"> Would you feel safer interacting with verified mentors if parental consent was mandatory for minors?</w:t>
      </w:r>
    </w:p>
    <w:p>
      <w:pPr>
        <w:pStyle w:val="ListParagraph"/>
        <w:numPr>
          <w:ilvl w:val="0"/>
          <w:numId w:val="1"/>
        </w:numPr>
        <w:spacing w:after="40" w:before="40" w:line="280"/>
      </w:pPr>
      <w:r>
        <w:rPr>
          <w:rFonts w:ascii="Calibri" w:cs="Calibri" w:eastAsia="Calibri" w:hAnsi="Calibri"/>
          <w:b/>
          <w:bCs/>
          <w:color w:val="234B38"/>
          <w:sz w:val="22"/>
          <w:szCs w:val="22"/>
        </w:rPr>
        <w:t xml:space="preserve">12.</w:t>
      </w:r>
      <w:r>
        <w:rPr>
          <w:rFonts w:ascii="Calibri" w:cs="Calibri" w:eastAsia="Calibri" w:hAnsi="Calibri"/>
          <w:color w:val="303832"/>
          <w:sz w:val="22"/>
          <w:szCs w:val="22"/>
        </w:rPr>
        <w:t xml:space="preserve"> Would an offline printable roadmap help you keep track of admission dates and entrance exams?</w:t>
      </w:r>
    </w:p>
    <w:p>
      <w:pPr>
        <w:pStyle w:val="Heading2"/>
        <w:spacing w:after="100" w:before="240"/>
      </w:pPr>
      <w:r>
        <w:rPr>
          <w:rFonts w:ascii="Calibri" w:cs="Calibri" w:eastAsia="Calibri" w:hAnsi="Calibri"/>
          <w:b/>
          <w:bCs/>
          <w:color w:val="C66B4E"/>
          <w:sz w:val="24"/>
          <w:szCs w:val="24"/>
        </w:rPr>
        <w:t xml:space="preserve">2.3 Data Collection Plan (Requirement Gathering)</w:t>
      </w:r>
    </w:p>
    <w:p>
      <w:pPr>
        <w:spacing w:after="60" w:before="60" w:line="300"/>
      </w:pPr>
      <w:r>
        <w:rPr>
          <w:rFonts w:ascii="Calibri" w:cs="Calibri" w:eastAsia="Calibri" w:hAnsi="Calibri"/>
          <w:color w:val="303832"/>
          <w:sz w:val="22"/>
          <w:szCs w:val="22"/>
        </w:rPr>
        <w:t xml:space="preserve">The requirement gathering process followed a three-phase methodology: qualitative student interviews, rigorous secondary analysis of Directorate of Technical Education (DTE) Maharashtra admission brochures, and direct collation of verified government scholarship criteria.</w:t>
      </w:r>
    </w:p>
    <w:p>
      <w:pPr>
        <w:pStyle w:val="Heading3"/>
        <w:spacing w:after="80" w:before="180"/>
      </w:pPr>
      <w:r>
        <w:rPr>
          <w:rFonts w:ascii="Calibri" w:cs="Calibri" w:eastAsia="Calibri" w:hAnsi="Calibri"/>
          <w:b/>
          <w:bCs/>
          <w:color w:val="234B38"/>
          <w:sz w:val="20"/>
          <w:szCs w:val="20"/>
        </w:rPr>
        <w:t xml:space="preserve">2.3.1 Requirement Identification:</w:t>
      </w:r>
    </w:p>
    <w:p>
      <w:pPr>
        <w:pStyle w:val="ListParagraph"/>
        <w:numPr>
          <w:ilvl w:val="0"/>
          <w:numId w:val="1"/>
        </w:numPr>
        <w:spacing w:after="40" w:before="40" w:line="280"/>
      </w:pPr>
      <w:r>
        <w:rPr>
          <w:rFonts w:ascii="Calibri" w:cs="Calibri" w:eastAsia="Calibri" w:hAnsi="Calibri"/>
          <w:b/>
          <w:bCs/>
          <w:color w:val="234B38"/>
          <w:sz w:val="22"/>
          <w:szCs w:val="22"/>
        </w:rPr>
        <w:t xml:space="preserve">Realistic Fee Representation:</w:t>
      </w:r>
      <w:r>
        <w:rPr>
          <w:rFonts w:ascii="Calibri" w:cs="Calibri" w:eastAsia="Calibri" w:hAnsi="Calibri"/>
          <w:color w:val="303832"/>
          <w:sz w:val="22"/>
          <w:szCs w:val="22"/>
        </w:rPr>
        <w:t xml:space="preserve"> Mandatory sourcing of government vs private college fees with date stamps.</w:t>
      </w:r>
    </w:p>
    <w:p>
      <w:pPr>
        <w:pStyle w:val="ListParagraph"/>
        <w:numPr>
          <w:ilvl w:val="0"/>
          <w:numId w:val="1"/>
        </w:numPr>
        <w:spacing w:after="40" w:before="40" w:line="280"/>
      </w:pPr>
      <w:r>
        <w:rPr>
          <w:rFonts w:ascii="Calibri" w:cs="Calibri" w:eastAsia="Calibri" w:hAnsi="Calibri"/>
          <w:b/>
          <w:bCs/>
          <w:color w:val="234B38"/>
          <w:sz w:val="22"/>
          <w:szCs w:val="22"/>
        </w:rPr>
        <w:t xml:space="preserve">MahaDBT Verification:</w:t>
      </w:r>
      <w:r>
        <w:rPr>
          <w:rFonts w:ascii="Calibri" w:cs="Calibri" w:eastAsia="Calibri" w:hAnsi="Calibri"/>
          <w:color w:val="303832"/>
          <w:sz w:val="22"/>
          <w:szCs w:val="22"/>
        </w:rPr>
        <w:t xml:space="preserve"> Accurate mapping of Maharashtra schemes (Rajarshi Shahu Maharaj, Dr. Punjabrao Deshmukh Hostel Allowance).</w:t>
      </w:r>
    </w:p>
    <w:p>
      <w:pPr>
        <w:pStyle w:val="ListParagraph"/>
        <w:numPr>
          <w:ilvl w:val="0"/>
          <w:numId w:val="1"/>
        </w:numPr>
        <w:spacing w:after="40" w:before="40" w:line="280"/>
      </w:pPr>
      <w:r>
        <w:rPr>
          <w:rFonts w:ascii="Calibri" w:cs="Calibri" w:eastAsia="Calibri" w:hAnsi="Calibri"/>
          <w:b/>
          <w:bCs/>
          <w:color w:val="234B38"/>
          <w:sz w:val="22"/>
          <w:szCs w:val="22"/>
        </w:rPr>
        <w:t xml:space="preserve">Vocational Trade Inclusion:</w:t>
      </w:r>
      <w:r>
        <w:rPr>
          <w:rFonts w:ascii="Calibri" w:cs="Calibri" w:eastAsia="Calibri" w:hAnsi="Calibri"/>
          <w:color w:val="303832"/>
          <w:sz w:val="22"/>
          <w:szCs w:val="22"/>
        </w:rPr>
        <w:t xml:space="preserve"> Complete pathways for ITI Electrician, Mechanic, Welder, and Paramedical technician.</w:t>
      </w:r>
    </w:p>
    <w:p>
      <w:pPr>
        <w:pStyle w:val="ListParagraph"/>
        <w:numPr>
          <w:ilvl w:val="0"/>
          <w:numId w:val="1"/>
        </w:numPr>
        <w:spacing w:after="40" w:before="40" w:line="280"/>
      </w:pPr>
      <w:r>
        <w:rPr>
          <w:rFonts w:ascii="Calibri" w:cs="Calibri" w:eastAsia="Calibri" w:hAnsi="Calibri"/>
          <w:b/>
          <w:bCs/>
          <w:color w:val="234B38"/>
          <w:sz w:val="22"/>
          <w:szCs w:val="22"/>
        </w:rPr>
        <w:t xml:space="preserve">Assistive Technology:</w:t>
      </w:r>
      <w:r>
        <w:rPr>
          <w:rFonts w:ascii="Calibri" w:cs="Calibri" w:eastAsia="Calibri" w:hAnsi="Calibri"/>
          <w:color w:val="303832"/>
          <w:sz w:val="22"/>
          <w:szCs w:val="22"/>
        </w:rPr>
        <w:t xml:space="preserve"> Web Speech API integration for text-to-speech audio reading in vernacular languages.</w:t>
      </w:r>
    </w:p>
    <w:p>
      <w:pPr>
        <w:pStyle w:val="ListParagraph"/>
        <w:numPr>
          <w:ilvl w:val="0"/>
          <w:numId w:val="1"/>
        </w:numPr>
        <w:spacing w:after="40" w:before="40" w:line="280"/>
      </w:pPr>
      <w:r>
        <w:rPr>
          <w:rFonts w:ascii="Calibri" w:cs="Calibri" w:eastAsia="Calibri" w:hAnsi="Calibri"/>
          <w:b/>
          <w:bCs/>
          <w:color w:val="234B38"/>
          <w:sz w:val="22"/>
          <w:szCs w:val="22"/>
        </w:rPr>
        <w:t xml:space="preserve">Zero-Data Loss Architecture:</w:t>
      </w:r>
      <w:r>
        <w:rPr>
          <w:rFonts w:ascii="Calibri" w:cs="Calibri" w:eastAsia="Calibri" w:hAnsi="Calibri"/>
          <w:color w:val="303832"/>
          <w:sz w:val="22"/>
          <w:szCs w:val="22"/>
        </w:rPr>
        <w:t xml:space="preserve"> Client-side persistence of bookmarked opportunities and quiz responses.</w:t>
      </w:r>
    </w:p>
    <w:p>
      <w:pPr>
        <w:pStyle w:val="Heading3"/>
        <w:spacing w:after="80" w:before="180"/>
      </w:pPr>
      <w:r>
        <w:rPr>
          <w:rFonts w:ascii="Calibri" w:cs="Calibri" w:eastAsia="Calibri" w:hAnsi="Calibri"/>
          <w:b/>
          <w:bCs/>
          <w:color w:val="234B38"/>
          <w:sz w:val="20"/>
          <w:szCs w:val="20"/>
        </w:rPr>
        <w:t xml:space="preserve">2.3.2 Data Collection Methods:</w:t>
      </w:r>
    </w:p>
    <w:p>
      <w:pPr>
        <w:spacing w:after="60" w:before="60" w:line="300"/>
      </w:pPr>
      <w:r>
        <w:rPr>
          <w:rFonts w:ascii="Calibri" w:cs="Calibri" w:eastAsia="Calibri" w:hAnsi="Calibri"/>
          <w:color w:val="303832"/>
          <w:sz w:val="22"/>
          <w:szCs w:val="22"/>
        </w:rPr>
        <w:t xml:space="preserve">Primary data was obtained via community questionnaires administered in Chembur and Govandi. Secondary data was synthesized from official Government of India publications, AICTE curriculum guidelines, UGC gazettes, and official MahaDBT manuals (mahadbt.maharashtra.gov.in).</w:t>
      </w:r>
    </w:p>
    <w:p>
      <w:pPr>
        <w:pStyle w:val="Heading3"/>
        <w:spacing w:after="80" w:before="180"/>
      </w:pPr>
      <w:r>
        <w:rPr>
          <w:rFonts w:ascii="Calibri" w:cs="Calibri" w:eastAsia="Calibri" w:hAnsi="Calibri"/>
          <w:b/>
          <w:bCs/>
          <w:color w:val="234B38"/>
          <w:sz w:val="20"/>
          <w:szCs w:val="20"/>
        </w:rPr>
        <w:t xml:space="preserve">2.3.3 Expected Outcome:</w:t>
      </w:r>
    </w:p>
    <w:p>
      <w:pPr>
        <w:spacing w:after="60" w:before="60" w:line="300"/>
      </w:pPr>
      <w:r>
        <w:rPr>
          <w:rFonts w:ascii="Calibri" w:cs="Calibri" w:eastAsia="Calibri" w:hAnsi="Calibri"/>
          <w:color w:val="303832"/>
          <w:sz w:val="22"/>
          <w:szCs w:val="22"/>
        </w:rPr>
        <w:t xml:space="preserve">A production-grade, zero-cost career guidance application tailored specifically for Indian youth, eliminating misinformation and empowering first-generation learners to make confident, financially viable career choices.</w:t>
      </w:r>
    </w:p>
    <w:p>
      <w:pPr>
        <w:pStyle w:val="Heading2"/>
        <w:spacing w:after="100" w:before="240"/>
      </w:pPr>
      <w:r>
        <w:rPr>
          <w:rFonts w:ascii="Calibri" w:cs="Calibri" w:eastAsia="Calibri" w:hAnsi="Calibri"/>
          <w:b/>
          <w:bCs/>
          <w:color w:val="C66B4E"/>
          <w:sz w:val="24"/>
          <w:szCs w:val="24"/>
        </w:rPr>
        <w:t xml:space="preserve">2.4 Supporting Material (Application Architecture &amp; Modules)</w:t>
      </w:r>
    </w:p>
    <w:p>
      <w:pPr>
        <w:spacing w:after="60" w:before="60" w:line="300"/>
      </w:pPr>
      <w:r>
        <w:rPr>
          <w:rFonts w:ascii="Calibri" w:cs="Calibri" w:eastAsia="Calibri" w:hAnsi="Calibri"/>
          <w:color w:val="303832"/>
          <w:sz w:val="22"/>
          <w:szCs w:val="22"/>
        </w:rPr>
        <w:t xml:space="preserve">The Udaan portal is structured into six core modules accessible through an art-directed, horizontal navigation bar: Career Explorer, Scholarship Finder, Entrance Exam Guide, Educational Pathways, 6-Step Career Quiz, Verified Mentors, and Student Roadmap. Each module operates reactively with zero full-page reloads.</w:t>
      </w:r>
    </w:p>
    <w:p>
      <w:pPr>
        <w:pageBreakBefore/>
      </w:pPr>
    </w:p>
    <w:p>
      <w:pPr>
        <w:pStyle w:val="Heading1"/>
        <w:spacing w:after="140" w:before="360"/>
      </w:pPr>
      <w:r>
        <w:rPr>
          <w:rFonts w:ascii="Calibri" w:cs="Calibri" w:eastAsia="Calibri" w:hAnsi="Calibri"/>
          <w:b/>
          <w:bCs/>
          <w:color w:val="234B38"/>
          <w:sz w:val="28"/>
          <w:szCs w:val="28"/>
        </w:rPr>
        <w:t xml:space="preserve">3. METHODOLOGY (DESIGN DOCUMENTATION)</w:t>
      </w:r>
    </w:p>
    <w:p>
      <w:pPr>
        <w:spacing w:after="60" w:before="60" w:line="300"/>
      </w:pPr>
      <w:r>
        <w:rPr>
          <w:rFonts w:ascii="Calibri" w:cs="Calibri" w:eastAsia="Calibri" w:hAnsi="Calibri"/>
          <w:color w:val="303832"/>
          <w:sz w:val="22"/>
          <w:szCs w:val="22"/>
        </w:rPr>
        <w:t xml:space="preserve">This section details the software engineering design artifacts governing the Udaan portal, including Entity-Relationship data models, UML Class models, user flowcharts, activity swimlanes, and sequence interaction diagrams.</w:t>
      </w:r>
    </w:p>
    <w:p>
      <w:pPr>
        <w:pStyle w:val="Heading2"/>
        <w:spacing w:after="100" w:before="240"/>
      </w:pPr>
      <w:r>
        <w:rPr>
          <w:rFonts w:ascii="Calibri" w:cs="Calibri" w:eastAsia="Calibri" w:hAnsi="Calibri"/>
          <w:b/>
          <w:bCs/>
          <w:color w:val="C66B4E"/>
          <w:sz w:val="24"/>
          <w:szCs w:val="24"/>
        </w:rPr>
        <w:t xml:space="preserve">3.1 ER Diagram (Entity-Relationship Architecture)</w:t>
      </w:r>
    </w:p>
    <w:p>
      <w:pPr>
        <w:spacing w:after="60" w:before="60" w:line="300"/>
      </w:pPr>
      <w:r>
        <w:rPr>
          <w:rFonts w:ascii="Calibri" w:cs="Calibri" w:eastAsia="Calibri" w:hAnsi="Calibri"/>
          <w:color w:val="303832"/>
          <w:sz w:val="22"/>
          <w:szCs w:val="22"/>
        </w:rPr>
        <w:t xml:space="preserve">The Entity-Relationship (ER) diagram visualizes the relational architecture of Udaan. The central entity `STUDENT_USER` maintains a 1-to-N relationship with `ASSESSMENT_RESPONSE` and `ROADMAP_ITEM`. The `CAREER_PATHWAY` entity links to `SCHOLARSHIP` and `ENTRANCE_EXAM` through Many-to-Many relationships, ensuring students viewing a specific career path immediately see eligible government aid and required entrance examinations. The `MENTOR_SESSION` entity links `STUDENT_USER` and `VERIFIED_MENTOR` with mandatory boolean flags for `guardian_consent_verified` to enforce minor safety.</w:t>
      </w:r>
    </w:p>
    <w:p>
      <w:pPr>
        <w:spacing w:after="80" w:before="120"/>
        <w:jc w:val="center"/>
      </w:pPr>
      <w:r>
        <w:drawing>
          <wp:inline distT="0" distB="0" distL="0" distR="0">
            <wp:extent cx="5334000" cy="3714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before="40"/>
        <w:jc w:val="center"/>
      </w:pPr>
      <w:r>
        <w:rPr>
          <w:rFonts w:ascii="Calibri" w:cs="Calibri" w:eastAsia="Calibri" w:hAnsi="Calibri"/>
          <w:i/>
          <w:iCs/>
          <w:color w:val="666666"/>
          <w:sz w:val="18"/>
          <w:szCs w:val="18"/>
        </w:rPr>
        <w:t xml:space="preserve">Figure 3.1: Entity-Relationship Diagram for Udaan Career Guidance Portal</w:t>
      </w:r>
    </w:p>
    <w:p>
      <w:pPr>
        <w:pageBreakBefore/>
      </w:pPr>
    </w:p>
    <w:p>
      <w:pPr>
        <w:pStyle w:val="Heading2"/>
        <w:spacing w:after="100" w:before="240"/>
      </w:pPr>
      <w:r>
        <w:rPr>
          <w:rFonts w:ascii="Calibri" w:cs="Calibri" w:eastAsia="Calibri" w:hAnsi="Calibri"/>
          <w:b/>
          <w:bCs/>
          <w:color w:val="C66B4E"/>
          <w:sz w:val="24"/>
          <w:szCs w:val="24"/>
        </w:rPr>
        <w:t xml:space="preserve">3.2 Class Diagram (Component &amp; Service Architecture)</w:t>
      </w:r>
    </w:p>
    <w:p>
      <w:pPr>
        <w:spacing w:after="60" w:before="60" w:line="300"/>
      </w:pPr>
      <w:r>
        <w:rPr>
          <w:rFonts w:ascii="Calibri" w:cs="Calibri" w:eastAsia="Calibri" w:hAnsi="Calibri"/>
          <w:color w:val="303832"/>
          <w:sz w:val="22"/>
          <w:szCs w:val="22"/>
        </w:rPr>
        <w:t xml:space="preserve">The Class diagram outlines the modular TypeScript and React object-oriented architecture. The root controller `UdaanAppRoot` orchestrates navigation, internationalization context (`LanguageContext`), and audio narration services. Distinct service modules (`CareerExplorerService`, `ScholarshipEngine`, `CareerQuizEngine`, and `MentorSafeguardService`) manage business logic, while `LocalStorageAdapter` ensures offline data persistence.</w:t>
      </w:r>
    </w:p>
    <w:p>
      <w:pPr>
        <w:spacing w:after="80" w:before="120"/>
        <w:jc w:val="center"/>
      </w:pPr>
      <w:r>
        <w:drawing>
          <wp:inline distT="0" distB="0" distL="0" distR="0">
            <wp:extent cx="5334000" cy="40005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4000500"/>
                    </a:xfrm>
                    <a:prstGeom prst="rect">
                      <a:avLst/>
                    </a:prstGeom>
                  </pic:spPr>
                </pic:pic>
              </a:graphicData>
            </a:graphic>
          </wp:inline>
        </w:drawing>
      </w:r>
    </w:p>
    <w:p>
      <w:pPr>
        <w:spacing w:after="120" w:before="40"/>
        <w:jc w:val="center"/>
      </w:pPr>
      <w:r>
        <w:rPr>
          <w:rFonts w:ascii="Calibri" w:cs="Calibri" w:eastAsia="Calibri" w:hAnsi="Calibri"/>
          <w:i/>
          <w:iCs/>
          <w:color w:val="666666"/>
          <w:sz w:val="18"/>
          <w:szCs w:val="18"/>
        </w:rPr>
        <w:t xml:space="preserve">Figure 3.2: UML Class Diagram representing Component &amp; Service Layer</w:t>
      </w:r>
    </w:p>
    <w:p>
      <w:pPr>
        <w:pageBreakBefore/>
      </w:pPr>
    </w:p>
    <w:p>
      <w:pPr>
        <w:pStyle w:val="Heading2"/>
        <w:spacing w:after="100" w:before="240"/>
      </w:pPr>
      <w:r>
        <w:rPr>
          <w:rFonts w:ascii="Calibri" w:cs="Calibri" w:eastAsia="Calibri" w:hAnsi="Calibri"/>
          <w:b/>
          <w:bCs/>
          <w:color w:val="C66B4E"/>
          <w:sz w:val="24"/>
          <w:szCs w:val="24"/>
        </w:rPr>
        <w:t xml:space="preserve">3.3 Flowchart (System Navigation &amp; Logic Flow)</w:t>
      </w:r>
    </w:p>
    <w:p>
      <w:pPr>
        <w:spacing w:after="60" w:before="60" w:line="300"/>
      </w:pPr>
      <w:r>
        <w:rPr>
          <w:rFonts w:ascii="Calibri" w:cs="Calibri" w:eastAsia="Calibri" w:hAnsi="Calibri"/>
          <w:color w:val="303832"/>
          <w:sz w:val="22"/>
          <w:szCs w:val="22"/>
        </w:rPr>
        <w:t xml:space="preserve">The flowchart maps the student journey from landing on the portal, choosing their preferred language (English, Hindi, or Marathi), and selecting either direct browsing or the 6-step guided quiz. It illustrates the decision forks for budget constraints, minor safeguarding verification, roadmap saving, and offline PDF generation.</w:t>
      </w:r>
    </w:p>
    <w:p>
      <w:pPr>
        <w:spacing w:after="80" w:before="120"/>
        <w:jc w:val="center"/>
      </w:pPr>
      <w:r>
        <w:drawing>
          <wp:inline distT="0" distB="0" distL="0" distR="0">
            <wp:extent cx="4381500" cy="5334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5334000"/>
                    </a:xfrm>
                    <a:prstGeom prst="rect">
                      <a:avLst/>
                    </a:prstGeom>
                  </pic:spPr>
                </pic:pic>
              </a:graphicData>
            </a:graphic>
          </wp:inline>
        </w:drawing>
      </w:r>
    </w:p>
    <w:p>
      <w:pPr>
        <w:spacing w:after="120" w:before="40"/>
        <w:jc w:val="center"/>
      </w:pPr>
      <w:r>
        <w:rPr>
          <w:rFonts w:ascii="Calibri" w:cs="Calibri" w:eastAsia="Calibri" w:hAnsi="Calibri"/>
          <w:i/>
          <w:iCs/>
          <w:color w:val="666666"/>
          <w:sz w:val="18"/>
          <w:szCs w:val="18"/>
        </w:rPr>
        <w:t xml:space="preserve">Figure 3.3: System Flowchart depicting End-to-End User Guidance Journey</w:t>
      </w:r>
    </w:p>
    <w:p>
      <w:pPr>
        <w:pageBreakBefore/>
      </w:pPr>
    </w:p>
    <w:p>
      <w:pPr>
        <w:pStyle w:val="Heading2"/>
        <w:spacing w:after="100" w:before="240"/>
      </w:pPr>
      <w:r>
        <w:rPr>
          <w:rFonts w:ascii="Calibri" w:cs="Calibri" w:eastAsia="Calibri" w:hAnsi="Calibri"/>
          <w:b/>
          <w:bCs/>
          <w:color w:val="C66B4E"/>
          <w:sz w:val="24"/>
          <w:szCs w:val="24"/>
        </w:rPr>
        <w:t xml:space="preserve">3.4 Activity Diagram (Assessment &amp; Affordability Swimlanes)</w:t>
      </w:r>
    </w:p>
    <w:p>
      <w:pPr>
        <w:spacing w:after="60" w:before="60" w:line="300"/>
      </w:pPr>
      <w:r>
        <w:rPr>
          <w:rFonts w:ascii="Calibri" w:cs="Calibri" w:eastAsia="Calibri" w:hAnsi="Calibri"/>
          <w:color w:val="303832"/>
          <w:sz w:val="22"/>
          <w:szCs w:val="22"/>
        </w:rPr>
        <w:t xml:space="preserve">The Activity diagram employs four swimlanes: `Student / User`, `Udaan Web Interface`, `Assessment &amp; Match Engine`, and `MahaDBT / NSP Portal Gateways`. It captures parallel asynchronous events: while the student inputs their budget and interests, the engine queries government fee structures and verifies matching state fee waivers, branching to low-cost ITI / polytechnic alternatives if private college fees exceed the family budget.</w:t>
      </w:r>
    </w:p>
    <w:p>
      <w:pPr>
        <w:spacing w:after="80" w:before="120"/>
        <w:jc w:val="center"/>
      </w:pPr>
      <w:r>
        <w:drawing>
          <wp:inline distT="0" distB="0" distL="0" distR="0">
            <wp:extent cx="5143500" cy="43815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4381500"/>
                    </a:xfrm>
                    <a:prstGeom prst="rect">
                      <a:avLst/>
                    </a:prstGeom>
                  </pic:spPr>
                </pic:pic>
              </a:graphicData>
            </a:graphic>
          </wp:inline>
        </w:drawing>
      </w:r>
    </w:p>
    <w:p>
      <w:pPr>
        <w:spacing w:after="120" w:before="40"/>
        <w:jc w:val="center"/>
      </w:pPr>
      <w:r>
        <w:rPr>
          <w:rFonts w:ascii="Calibri" w:cs="Calibri" w:eastAsia="Calibri" w:hAnsi="Calibri"/>
          <w:i/>
          <w:iCs/>
          <w:color w:val="666666"/>
          <w:sz w:val="18"/>
          <w:szCs w:val="18"/>
        </w:rPr>
        <w:t xml:space="preserve">Figure 3.4: UML Activity Diagram with Swimlane Process Flow</w:t>
      </w:r>
    </w:p>
    <w:p>
      <w:pPr>
        <w:pageBreakBefore/>
      </w:pPr>
    </w:p>
    <w:p>
      <w:pPr>
        <w:pStyle w:val="Heading2"/>
        <w:spacing w:after="100" w:before="240"/>
      </w:pPr>
      <w:r>
        <w:rPr>
          <w:rFonts w:ascii="Calibri" w:cs="Calibri" w:eastAsia="Calibri" w:hAnsi="Calibri"/>
          <w:b/>
          <w:bCs/>
          <w:color w:val="C66B4E"/>
          <w:sz w:val="24"/>
          <w:szCs w:val="24"/>
        </w:rPr>
        <w:t xml:space="preserve">3.5 Sequence Diagram (Interactive Message Exchanges)</w:t>
      </w:r>
    </w:p>
    <w:p>
      <w:pPr>
        <w:spacing w:after="60" w:before="60" w:line="300"/>
      </w:pPr>
      <w:r>
        <w:rPr>
          <w:rFonts w:ascii="Calibri" w:cs="Calibri" w:eastAsia="Calibri" w:hAnsi="Calibri"/>
          <w:color w:val="303832"/>
          <w:sz w:val="22"/>
          <w:szCs w:val="22"/>
        </w:rPr>
        <w:t xml:space="preserve">The Sequence diagram details the time-ordered message exchanges between actors and software objects. It demonstrates how user inputs trigger queries to `CareerQuizEngine`, asynchronous calls to `ScholarshipService` for MahaDBT post-matric eligibility, alternative path branching under budget constraints, and finally persistence to `LocalRoadmapStore`.</w:t>
      </w:r>
    </w:p>
    <w:p>
      <w:pPr>
        <w:spacing w:after="80" w:before="120"/>
        <w:jc w:val="center"/>
      </w:pPr>
      <w:r>
        <w:drawing>
          <wp:inline distT="0" distB="0" distL="0" distR="0">
            <wp:extent cx="5334000" cy="40005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4000500"/>
                    </a:xfrm>
                    <a:prstGeom prst="rect">
                      <a:avLst/>
                    </a:prstGeom>
                  </pic:spPr>
                </pic:pic>
              </a:graphicData>
            </a:graphic>
          </wp:inline>
        </w:drawing>
      </w:r>
    </w:p>
    <w:p>
      <w:pPr>
        <w:spacing w:after="120" w:before="40"/>
        <w:jc w:val="center"/>
      </w:pPr>
      <w:r>
        <w:rPr>
          <w:rFonts w:ascii="Calibri" w:cs="Calibri" w:eastAsia="Calibri" w:hAnsi="Calibri"/>
          <w:i/>
          <w:iCs/>
          <w:color w:val="666666"/>
          <w:sz w:val="18"/>
          <w:szCs w:val="18"/>
        </w:rPr>
        <w:t xml:space="preserve">Figure 3.5: UML Sequence Diagram for Career Evaluation and Scholarship Flow</w:t>
      </w:r>
    </w:p>
    <w:p>
      <w:pPr>
        <w:pageBreakBefore/>
      </w:pPr>
    </w:p>
    <w:p>
      <w:pPr>
        <w:pStyle w:val="Heading1"/>
        <w:spacing w:after="140" w:before="360"/>
      </w:pPr>
      <w:r>
        <w:rPr>
          <w:rFonts w:ascii="Calibri" w:cs="Calibri" w:eastAsia="Calibri" w:hAnsi="Calibri"/>
          <w:b/>
          <w:bCs/>
          <w:color w:val="234B38"/>
          <w:sz w:val="28"/>
          <w:szCs w:val="28"/>
        </w:rPr>
        <w:t xml:space="preserve">4. DESCRIPTION OF SYSTEM MODULES &amp; DATA DESIGN</w:t>
      </w:r>
    </w:p>
    <w:p>
      <w:pPr>
        <w:spacing w:after="60" w:before="60" w:line="300"/>
      </w:pPr>
      <w:r>
        <w:rPr>
          <w:rFonts w:ascii="Calibri" w:cs="Calibri" w:eastAsia="Calibri" w:hAnsi="Calibri"/>
          <w:color w:val="303832"/>
          <w:sz w:val="22"/>
          <w:szCs w:val="22"/>
        </w:rPr>
        <w:t xml:space="preserve">This section examines the six foundational functional modules implemented in Udaan, their algorithmic data schemas, and visual evidence of their rendered interfaces.</w:t>
      </w:r>
    </w:p>
    <w:p>
      <w:pPr>
        <w:pStyle w:val="Heading2"/>
        <w:spacing w:after="100" w:before="240"/>
      </w:pPr>
      <w:r>
        <w:rPr>
          <w:rFonts w:ascii="Calibri" w:cs="Calibri" w:eastAsia="Calibri" w:hAnsi="Calibri"/>
          <w:b/>
          <w:bCs/>
          <w:color w:val="C66B4E"/>
          <w:sz w:val="24"/>
          <w:szCs w:val="24"/>
        </w:rPr>
        <w:t xml:space="preserve">4.1 Introduction to Core Modules</w:t>
      </w:r>
    </w:p>
    <w:p>
      <w:pPr>
        <w:pStyle w:val="Heading3"/>
        <w:spacing w:after="80" w:before="180"/>
      </w:pPr>
      <w:r>
        <w:rPr>
          <w:rFonts w:ascii="Calibri" w:cs="Calibri" w:eastAsia="Calibri" w:hAnsi="Calibri"/>
          <w:b/>
          <w:bCs/>
          <w:color w:val="234B38"/>
          <w:sz w:val="20"/>
          <w:szCs w:val="20"/>
        </w:rPr>
        <w:t xml:space="preserve">4.1.1 Career Explorer Module:</w:t>
      </w:r>
    </w:p>
    <w:p>
      <w:pPr>
        <w:spacing w:after="60" w:before="60" w:line="300"/>
      </w:pPr>
      <w:r>
        <w:rPr>
          <w:rFonts w:ascii="Calibri" w:cs="Calibri" w:eastAsia="Calibri" w:hAnsi="Calibri"/>
          <w:color w:val="303832"/>
          <w:sz w:val="22"/>
          <w:szCs w:val="22"/>
        </w:rPr>
        <w:t xml:space="preserve">Presents 9 diverse domains: Technology, Healthcare, Government Services (UPSC, SSC, Banking, Railways), Engineering &amp; Science, Commerce &amp; Finance, Creative Careers, Education, Vocational Trades, and Emerging Sectors (Renewable Energy, AgriTech). Each career provides a reality check: required qualifications, entrance exams, government college routes, indicative course fees, and entry-to-senior salary brackets.</w:t>
      </w:r>
    </w:p>
    <w:p>
      <w:pPr>
        <w:pStyle w:val="Heading3"/>
        <w:spacing w:after="80" w:before="180"/>
      </w:pPr>
      <w:r>
        <w:rPr>
          <w:rFonts w:ascii="Calibri" w:cs="Calibri" w:eastAsia="Calibri" w:hAnsi="Calibri"/>
          <w:b/>
          <w:bCs/>
          <w:color w:val="234B38"/>
          <w:sz w:val="20"/>
          <w:szCs w:val="20"/>
        </w:rPr>
        <w:t xml:space="preserve">4.1.2 Scholarship &amp; Financial Assistance Module (MahaDBT &amp; NSP):</w:t>
      </w:r>
    </w:p>
    <w:p>
      <w:pPr>
        <w:spacing w:after="60" w:before="60" w:line="300"/>
      </w:pPr>
      <w:r>
        <w:rPr>
          <w:rFonts w:ascii="Calibri" w:cs="Calibri" w:eastAsia="Calibri" w:hAnsi="Calibri"/>
          <w:color w:val="303832"/>
          <w:sz w:val="22"/>
          <w:szCs w:val="22"/>
        </w:rPr>
        <w:t xml:space="preserve">Features dedicated filters for Central and Maharashtra State schemes. Distinct markers differentiate officially verified opportunities from demonstration records. Each scholarship specifies family income caps, financial benefits, mandatory document checklists (Caste Certificate, Income Certificate from Tahsildar, Domicile, Ration Card), and direct hyperlinks to official portals (mahadbt.maharashtra.gov.in and scholarships.gov.in).</w:t>
      </w:r>
    </w:p>
    <w:p>
      <w:pPr>
        <w:pStyle w:val="Heading3"/>
        <w:spacing w:after="80" w:before="180"/>
      </w:pPr>
      <w:r>
        <w:rPr>
          <w:rFonts w:ascii="Calibri" w:cs="Calibri" w:eastAsia="Calibri" w:hAnsi="Calibri"/>
          <w:b/>
          <w:bCs/>
          <w:color w:val="234B38"/>
          <w:sz w:val="20"/>
          <w:szCs w:val="20"/>
        </w:rPr>
        <w:t xml:space="preserve">4.1.3 Entrance Examination &amp; Admission Guide Module:</w:t>
      </w:r>
    </w:p>
    <w:p>
      <w:pPr>
        <w:spacing w:after="60" w:before="60" w:line="300"/>
      </w:pPr>
      <w:r>
        <w:rPr>
          <w:rFonts w:ascii="Calibri" w:cs="Calibri" w:eastAsia="Calibri" w:hAnsi="Calibri"/>
          <w:color w:val="303832"/>
          <w:sz w:val="22"/>
          <w:szCs w:val="22"/>
        </w:rPr>
        <w:t xml:space="preserve">Comprehensive repository detailing conducting agencies (NTA, State CET Cell, UPSC, SSC), eligibility criteria, exam format (computer-based vs pen-paper), application fee concessions for reserved categories, syllabus overviews, and official preparation resources.</w:t>
      </w:r>
    </w:p>
    <w:p>
      <w:pPr>
        <w:pStyle w:val="Heading3"/>
        <w:spacing w:after="80" w:before="180"/>
      </w:pPr>
      <w:r>
        <w:rPr>
          <w:rFonts w:ascii="Calibri" w:cs="Calibri" w:eastAsia="Calibri" w:hAnsi="Calibri"/>
          <w:b/>
          <w:bCs/>
          <w:color w:val="234B38"/>
          <w:sz w:val="20"/>
          <w:szCs w:val="20"/>
        </w:rPr>
        <w:t xml:space="preserve">4.1.4 Guided Career Assessment &amp; Low-Cost Pathway Generator:</w:t>
      </w:r>
    </w:p>
    <w:p>
      <w:pPr>
        <w:spacing w:after="60" w:before="60" w:line="300"/>
      </w:pPr>
      <w:r>
        <w:rPr>
          <w:rFonts w:ascii="Calibri" w:cs="Calibri" w:eastAsia="Calibri" w:hAnsi="Calibri"/>
          <w:color w:val="303832"/>
          <w:sz w:val="22"/>
          <w:szCs w:val="22"/>
        </w:rPr>
        <w:t xml:space="preserve">An interactive 6-step diagnostic evaluation. If a student indicates a low annual budget (&lt; ₹25,000/year), the engine automatically prioritizes zero-debt government college routes and vocational alternatives (ITI, Polytechnic lateral entry) over high-cost private degree colleges.</w:t>
      </w:r>
    </w:p>
    <w:p>
      <w:pPr>
        <w:pStyle w:val="Heading3"/>
        <w:spacing w:after="80" w:before="180"/>
      </w:pPr>
      <w:r>
        <w:rPr>
          <w:rFonts w:ascii="Calibri" w:cs="Calibri" w:eastAsia="Calibri" w:hAnsi="Calibri"/>
          <w:b/>
          <w:bCs/>
          <w:color w:val="234B38"/>
          <w:sz w:val="20"/>
          <w:szCs w:val="20"/>
        </w:rPr>
        <w:t xml:space="preserve">4.1.5 Human Mentorship &amp; Minor Safeguarding Module:</w:t>
      </w:r>
    </w:p>
    <w:p>
      <w:pPr>
        <w:spacing w:after="60" w:before="60" w:line="300"/>
      </w:pPr>
      <w:r>
        <w:rPr>
          <w:rFonts w:ascii="Calibri" w:cs="Calibri" w:eastAsia="Calibri" w:hAnsi="Calibri"/>
          <w:color w:val="303832"/>
          <w:sz w:val="22"/>
          <w:szCs w:val="22"/>
        </w:rPr>
        <w:t xml:space="preserve">Connects students with verified volunteer counsellors and professionals. Implements strict child protection standards: students under 18 must acknowledge parental/guardian consent before booking, personal telephone numbers are shielded, and meetings occur via moderated educational channels.</w:t>
      </w:r>
    </w:p>
    <w:p>
      <w:pPr>
        <w:pStyle w:val="Heading3"/>
        <w:spacing w:after="80" w:before="180"/>
      </w:pPr>
      <w:r>
        <w:rPr>
          <w:rFonts w:ascii="Calibri" w:cs="Calibri" w:eastAsia="Calibri" w:hAnsi="Calibri"/>
          <w:b/>
          <w:bCs/>
          <w:color w:val="234B38"/>
          <w:sz w:val="20"/>
          <w:szCs w:val="20"/>
        </w:rPr>
        <w:t xml:space="preserve">4.1.6 Interactive Student Action Roadmap &amp; Offline Tools:</w:t>
      </w:r>
    </w:p>
    <w:p>
      <w:pPr>
        <w:spacing w:after="60" w:before="60" w:line="300"/>
      </w:pPr>
      <w:r>
        <w:rPr>
          <w:rFonts w:ascii="Calibri" w:cs="Calibri" w:eastAsia="Calibri" w:hAnsi="Calibri"/>
          <w:color w:val="303832"/>
          <w:sz w:val="22"/>
          <w:szCs w:val="22"/>
        </w:rPr>
        <w:t xml:space="preserve">Converts career choices into step-by-step milestone checklists. Progress is persisted in browser storage and can be exported as a clean, printable PDF document designed for offline study in areas with limited internet connectivity.</w:t>
      </w:r>
    </w:p>
    <w:p>
      <w:pPr>
        <w:pStyle w:val="Heading2"/>
        <w:spacing w:after="100" w:before="240"/>
      </w:pPr>
      <w:r>
        <w:rPr>
          <w:rFonts w:ascii="Calibri" w:cs="Calibri" w:eastAsia="Calibri" w:hAnsi="Calibri"/>
          <w:b/>
          <w:bCs/>
          <w:color w:val="C66B4E"/>
          <w:sz w:val="24"/>
          <w:szCs w:val="24"/>
        </w:rPr>
        <w:t xml:space="preserve">4.2 Data Design &amp; State Management</w:t>
      </w:r>
    </w:p>
    <w:p>
      <w:pPr>
        <w:spacing w:after="60" w:before="60" w:line="300"/>
      </w:pPr>
      <w:r>
        <w:rPr>
          <w:rFonts w:ascii="Calibri" w:cs="Calibri" w:eastAsia="Calibri" w:hAnsi="Calibri"/>
          <w:color w:val="303832"/>
          <w:sz w:val="22"/>
          <w:szCs w:val="22"/>
        </w:rPr>
        <w:t xml:space="preserve">Udaan utilizes TypeScript strict data contracts ensuring predictability, type safety, and seamless serialization. Core data structures include:</w:t>
      </w:r>
    </w:p>
    <w:p>
      <w:pPr>
        <w:pStyle w:val="ListParagraph"/>
        <w:numPr>
          <w:ilvl w:val="0"/>
          <w:numId w:val="1"/>
        </w:numPr>
        <w:spacing w:after="40" w:before="40" w:line="280"/>
      </w:pPr>
      <w:r>
        <w:rPr>
          <w:rFonts w:ascii="Calibri" w:cs="Calibri" w:eastAsia="Calibri" w:hAnsi="Calibri"/>
          <w:b/>
          <w:bCs/>
          <w:color w:val="234B38"/>
          <w:sz w:val="22"/>
          <w:szCs w:val="22"/>
        </w:rPr>
        <w:t xml:space="preserve">CareerItem Schema:</w:t>
      </w:r>
      <w:r>
        <w:rPr>
          <w:rFonts w:ascii="Calibri" w:cs="Calibri" w:eastAsia="Calibri" w:hAnsi="Calibri"/>
          <w:color w:val="303832"/>
          <w:sz w:val="22"/>
          <w:szCs w:val="22"/>
        </w:rPr>
        <w:t xml:space="preserve"> { id: string, title: string, domain: string, minQualification: string, avgGovtFee: number, feeSourceDate: string, entrySalary: string, seniorSalary: string, isVocational: boolean, exams: string[], scholarships: string[] }</w:t>
      </w:r>
    </w:p>
    <w:p>
      <w:pPr>
        <w:pStyle w:val="ListParagraph"/>
        <w:numPr>
          <w:ilvl w:val="0"/>
          <w:numId w:val="1"/>
        </w:numPr>
        <w:spacing w:after="40" w:before="40" w:line="280"/>
      </w:pPr>
      <w:r>
        <w:rPr>
          <w:rFonts w:ascii="Calibri" w:cs="Calibri" w:eastAsia="Calibri" w:hAnsi="Calibri"/>
          <w:b/>
          <w:bCs/>
          <w:color w:val="234B38"/>
          <w:sz w:val="22"/>
          <w:szCs w:val="22"/>
        </w:rPr>
        <w:t xml:space="preserve">ScholarshipScheme Schema:</w:t>
      </w:r>
      <w:r>
        <w:rPr>
          <w:rFonts w:ascii="Calibri" w:cs="Calibri" w:eastAsia="Calibri" w:hAnsi="Calibri"/>
          <w:color w:val="303832"/>
          <w:sz w:val="22"/>
          <w:szCs w:val="22"/>
        </w:rPr>
        <w:t xml:space="preserve"> { id: string, title: string, portal: "MahaDBT" | "NSP" | "Private", incomeCeiling: number, category: string[], maxBenefit: string, officialUrl: string, isSample: boolean, lastVerifiedDate: string }</w:t>
      </w:r>
    </w:p>
    <w:p>
      <w:pPr>
        <w:pStyle w:val="ListParagraph"/>
        <w:numPr>
          <w:ilvl w:val="0"/>
          <w:numId w:val="1"/>
        </w:numPr>
        <w:spacing w:after="40" w:before="40" w:line="280"/>
      </w:pPr>
      <w:r>
        <w:rPr>
          <w:rFonts w:ascii="Calibri" w:cs="Calibri" w:eastAsia="Calibri" w:hAnsi="Calibri"/>
          <w:b/>
          <w:bCs/>
          <w:color w:val="234B38"/>
          <w:sz w:val="22"/>
          <w:szCs w:val="22"/>
        </w:rPr>
        <w:t xml:space="preserve">RoadmapMilestone Schema:</w:t>
      </w:r>
      <w:r>
        <w:rPr>
          <w:rFonts w:ascii="Calibri" w:cs="Calibri" w:eastAsia="Calibri" w:hAnsi="Calibri"/>
          <w:color w:val="303832"/>
          <w:sz w:val="22"/>
          <w:szCs w:val="22"/>
        </w:rPr>
        <w:t xml:space="preserve"> { stepId: number, careerId: string, title: string, description: string, isCompleted: boolean, targetDeadline: string, requiredDocuments: string[] }</w:t>
      </w:r>
    </w:p>
    <w:p>
      <w:pPr>
        <w:pStyle w:val="ListParagraph"/>
        <w:numPr>
          <w:ilvl w:val="0"/>
          <w:numId w:val="1"/>
        </w:numPr>
        <w:spacing w:after="40" w:before="40" w:line="280"/>
      </w:pPr>
      <w:r>
        <w:rPr>
          <w:rFonts w:ascii="Calibri" w:cs="Calibri" w:eastAsia="Calibri" w:hAnsi="Calibri"/>
          <w:b/>
          <w:bCs/>
          <w:color w:val="234B38"/>
          <w:sz w:val="22"/>
          <w:szCs w:val="22"/>
        </w:rPr>
        <w:t xml:space="preserve">Client Storage Architecture:</w:t>
      </w:r>
      <w:r>
        <w:rPr>
          <w:rFonts w:ascii="Calibri" w:cs="Calibri" w:eastAsia="Calibri" w:hAnsi="Calibri"/>
          <w:color w:val="303832"/>
          <w:sz w:val="22"/>
          <w:szCs w:val="22"/>
        </w:rPr>
        <w:t xml:space="preserve"> Uses HTML5 LocalStorage with scoped keys ("udaan_bookmarks", "udaan_roadmap", "udaan_quiz_state"). Zero server-side session tracking guarantees student privacy.</w:t>
      </w:r>
    </w:p>
    <w:p>
      <w:pPr>
        <w:pageBreakBefore/>
      </w:pPr>
    </w:p>
    <w:p>
      <w:pPr>
        <w:pStyle w:val="Heading2"/>
        <w:spacing w:after="100" w:before="240"/>
      </w:pPr>
      <w:r>
        <w:rPr>
          <w:rFonts w:ascii="Calibri" w:cs="Calibri" w:eastAsia="Calibri" w:hAnsi="Calibri"/>
          <w:b/>
          <w:bCs/>
          <w:color w:val="C66B4E"/>
          <w:sz w:val="24"/>
          <w:szCs w:val="24"/>
        </w:rPr>
        <w:t xml:space="preserve">4.3 Graphical User Interface (GUI) Screenshots</w:t>
      </w:r>
    </w:p>
    <w:p>
      <w:pPr>
        <w:spacing w:after="60" w:before="60" w:line="300"/>
      </w:pPr>
      <w:r>
        <w:rPr>
          <w:rFonts w:ascii="Calibri" w:cs="Calibri" w:eastAsia="Calibri" w:hAnsi="Calibri"/>
          <w:color w:val="303832"/>
          <w:sz w:val="22"/>
          <w:szCs w:val="22"/>
        </w:rPr>
        <w:t xml:space="preserve">The following screenshots demonstrate the actual rendered interfaces of the Udaan platform, designed using an art-directed color palette: Forest Green (#234B38), Warm Ivory (#F8F6EF), Terracotta (#C66B4E), and Charcoal (#303832).</w:t>
      </w:r>
    </w:p>
    <w:p>
      <w:pPr>
        <w:spacing w:after="80" w:before="120"/>
        <w:jc w:val="center"/>
      </w:pPr>
      <w:r>
        <w:drawing>
          <wp:inline distT="0" distB="0" distL="0" distR="0">
            <wp:extent cx="4953000" cy="27622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762250"/>
                    </a:xfrm>
                    <a:prstGeom prst="rect">
                      <a:avLst/>
                    </a:prstGeom>
                  </pic:spPr>
                </pic:pic>
              </a:graphicData>
            </a:graphic>
          </wp:inline>
        </w:drawing>
      </w:r>
    </w:p>
    <w:p>
      <w:pPr>
        <w:spacing w:after="120" w:before="40"/>
        <w:jc w:val="center"/>
      </w:pPr>
      <w:r>
        <w:rPr>
          <w:rFonts w:ascii="Calibri" w:cs="Calibri" w:eastAsia="Calibri" w:hAnsi="Calibri"/>
          <w:i/>
          <w:iCs/>
          <w:color w:val="666666"/>
          <w:sz w:val="18"/>
          <w:szCs w:val="18"/>
        </w:rPr>
        <w:t xml:space="preserve">Plate 4.1: Udaan Home Page featuring Multilingual Switcher, Audio Reader &amp; Educational Hierarchy</w:t>
      </w:r>
    </w:p>
    <w:p>
      <w:pPr>
        <w:spacing w:after="80" w:before="120"/>
        <w:jc w:val="center"/>
      </w:pPr>
      <w:r>
        <w:drawing>
          <wp:inline distT="0" distB="0" distL="0" distR="0">
            <wp:extent cx="4953000" cy="27622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2762250"/>
                    </a:xfrm>
                    <a:prstGeom prst="rect">
                      <a:avLst/>
                    </a:prstGeom>
                  </pic:spPr>
                </pic:pic>
              </a:graphicData>
            </a:graphic>
          </wp:inline>
        </w:drawing>
      </w:r>
    </w:p>
    <w:p>
      <w:pPr>
        <w:spacing w:after="120" w:before="40"/>
        <w:jc w:val="center"/>
      </w:pPr>
      <w:r>
        <w:rPr>
          <w:rFonts w:ascii="Calibri" w:cs="Calibri" w:eastAsia="Calibri" w:hAnsi="Calibri"/>
          <w:i/>
          <w:iCs/>
          <w:color w:val="666666"/>
          <w:sz w:val="18"/>
          <w:szCs w:val="18"/>
        </w:rPr>
        <w:t xml:space="preserve">Plate 4.2: Career Explorer Directory with 9 Domains, Reality-Check Course Fees &amp; Salary Context</w:t>
      </w:r>
    </w:p>
    <w:p>
      <w:pPr>
        <w:spacing w:after="80" w:before="120"/>
        <w:jc w:val="center"/>
      </w:pPr>
      <w:r>
        <w:drawing>
          <wp:inline distT="0" distB="0" distL="0" distR="0">
            <wp:extent cx="4953000" cy="27622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762250"/>
                    </a:xfrm>
                    <a:prstGeom prst="rect">
                      <a:avLst/>
                    </a:prstGeom>
                  </pic:spPr>
                </pic:pic>
              </a:graphicData>
            </a:graphic>
          </wp:inline>
        </w:drawing>
      </w:r>
    </w:p>
    <w:p>
      <w:pPr>
        <w:spacing w:after="120" w:before="40"/>
        <w:jc w:val="center"/>
      </w:pPr>
      <w:r>
        <w:rPr>
          <w:rFonts w:ascii="Calibri" w:cs="Calibri" w:eastAsia="Calibri" w:hAnsi="Calibri"/>
          <w:i/>
          <w:iCs/>
          <w:color w:val="666666"/>
          <w:sz w:val="18"/>
          <w:szCs w:val="18"/>
        </w:rPr>
        <w:t xml:space="preserve">Plate 4.3: Scholarship Finder with dedicated MahaDBT filter, income ceilings and official portal links</w:t>
      </w:r>
    </w:p>
    <w:p>
      <w:pPr>
        <w:spacing w:after="80" w:before="120"/>
        <w:jc w:val="center"/>
      </w:pPr>
      <w:r>
        <w:drawing>
          <wp:inline distT="0" distB="0" distL="0" distR="0">
            <wp:extent cx="4953000" cy="27622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2762250"/>
                    </a:xfrm>
                    <a:prstGeom prst="rect">
                      <a:avLst/>
                    </a:prstGeom>
                  </pic:spPr>
                </pic:pic>
              </a:graphicData>
            </a:graphic>
          </wp:inline>
        </w:drawing>
      </w:r>
    </w:p>
    <w:p>
      <w:pPr>
        <w:spacing w:after="120" w:before="40"/>
        <w:jc w:val="center"/>
      </w:pPr>
      <w:r>
        <w:rPr>
          <w:rFonts w:ascii="Calibri" w:cs="Calibri" w:eastAsia="Calibri" w:hAnsi="Calibri"/>
          <w:i/>
          <w:iCs/>
          <w:color w:val="666666"/>
          <w:sz w:val="18"/>
          <w:szCs w:val="18"/>
        </w:rPr>
        <w:t xml:space="preserve">Plate 4.4: 6-Step Guided Career Assessment evaluating qualification, interests, and budget limits</w:t>
      </w:r>
    </w:p>
    <w:p>
      <w:pPr>
        <w:spacing w:after="80" w:before="120"/>
        <w:jc w:val="center"/>
      </w:pPr>
      <w:r>
        <w:drawing>
          <wp:inline distT="0" distB="0" distL="0" distR="0">
            <wp:extent cx="4953000" cy="27622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53000" cy="2762250"/>
                    </a:xfrm>
                    <a:prstGeom prst="rect">
                      <a:avLst/>
                    </a:prstGeom>
                  </pic:spPr>
                </pic:pic>
              </a:graphicData>
            </a:graphic>
          </wp:inline>
        </w:drawing>
      </w:r>
    </w:p>
    <w:p>
      <w:pPr>
        <w:spacing w:after="120" w:before="40"/>
        <w:jc w:val="center"/>
      </w:pPr>
      <w:r>
        <w:rPr>
          <w:rFonts w:ascii="Calibri" w:cs="Calibri" w:eastAsia="Calibri" w:hAnsi="Calibri"/>
          <w:i/>
          <w:iCs/>
          <w:color w:val="666666"/>
          <w:sz w:val="18"/>
          <w:szCs w:val="18"/>
        </w:rPr>
        <w:t xml:space="preserve">Plate 4.5: Mentorship Directory with Verified Volunteers and Mandatory Minor Safeguarding Modal</w:t>
      </w:r>
    </w:p>
    <w:p>
      <w:pPr>
        <w:spacing w:after="80" w:before="120"/>
        <w:jc w:val="center"/>
      </w:pPr>
      <w:r>
        <w:drawing>
          <wp:inline distT="0" distB="0" distL="0" distR="0">
            <wp:extent cx="4953000" cy="27622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2762250"/>
                    </a:xfrm>
                    <a:prstGeom prst="rect">
                      <a:avLst/>
                    </a:prstGeom>
                  </pic:spPr>
                </pic:pic>
              </a:graphicData>
            </a:graphic>
          </wp:inline>
        </w:drawing>
      </w:r>
    </w:p>
    <w:p>
      <w:pPr>
        <w:spacing w:after="120" w:before="40"/>
        <w:jc w:val="center"/>
      </w:pPr>
      <w:r>
        <w:rPr>
          <w:rFonts w:ascii="Calibri" w:cs="Calibri" w:eastAsia="Calibri" w:hAnsi="Calibri"/>
          <w:i/>
          <w:iCs/>
          <w:color w:val="666666"/>
          <w:sz w:val="18"/>
          <w:szCs w:val="18"/>
        </w:rPr>
        <w:t xml:space="preserve">Plate 4.6: Student Action Roadmap with interactive milestone progress and offline PDF print tool</w:t>
      </w:r>
    </w:p>
    <w:p>
      <w:pPr>
        <w:pageBreakBefore/>
      </w:pPr>
    </w:p>
    <w:p>
      <w:pPr>
        <w:pStyle w:val="Heading1"/>
        <w:spacing w:after="140" w:before="360"/>
      </w:pPr>
      <w:r>
        <w:rPr>
          <w:rFonts w:ascii="Calibri" w:cs="Calibri" w:eastAsia="Calibri" w:hAnsi="Calibri"/>
          <w:b/>
          <w:bCs/>
          <w:color w:val="234B38"/>
          <w:sz w:val="28"/>
          <w:szCs w:val="28"/>
        </w:rPr>
        <w:t xml:space="preserve">5. CONCLUSION AND RECOMMENDATIONS</w:t>
      </w:r>
    </w:p>
    <w:p>
      <w:pPr>
        <w:pStyle w:val="Heading2"/>
        <w:spacing w:after="100" w:before="240"/>
      </w:pPr>
      <w:r>
        <w:rPr>
          <w:rFonts w:ascii="Calibri" w:cs="Calibri" w:eastAsia="Calibri" w:hAnsi="Calibri"/>
          <w:b/>
          <w:bCs/>
          <w:color w:val="C66B4E"/>
          <w:sz w:val="24"/>
          <w:szCs w:val="24"/>
        </w:rPr>
        <w:t xml:space="preserve">5.1 Conclusion</w:t>
      </w:r>
    </w:p>
    <w:p>
      <w:pPr>
        <w:spacing w:after="60" w:before="60" w:line="300"/>
      </w:pPr>
      <w:r>
        <w:rPr>
          <w:rFonts w:ascii="Calibri" w:cs="Calibri" w:eastAsia="Calibri" w:hAnsi="Calibri"/>
          <w:color w:val="303832"/>
          <w:sz w:val="22"/>
          <w:szCs w:val="22"/>
        </w:rPr>
        <w:t xml:space="preserve">The Udaan Career Guidance Portal successfully demonstrates how thoughtful software engineering, human-centered product design, and localized content can address deep systemic inequalities in the Indian education ecosystem. By demystifying entrance examinations, detailing low-cost government college options, providing direct access to state welfare schemes on MahaDBT and central NSP, and offering an automated affordability assessment, Udaan equips underprivileged students with the agency and information needed to shape their own futures.</w:t>
      </w:r>
    </w:p>
    <w:p>
      <w:pPr>
        <w:spacing w:after="60" w:before="60" w:line="300"/>
      </w:pPr>
      <w:r>
        <w:rPr>
          <w:rFonts w:ascii="Calibri" w:cs="Calibri" w:eastAsia="Calibri" w:hAnsi="Calibri"/>
          <w:color w:val="303832"/>
          <w:sz w:val="22"/>
          <w:szCs w:val="22"/>
        </w:rPr>
        <w:t xml:space="preserve">The application was rigorously audited and field-tested in Chembur and Govandi, confirming zero console errors, full keyboard accessibility, responsive mobile performance on budget smartphones, and high user acceptance among first-generation college aspirants. The integration of minor-safeguarding protocols sets a high standard for youth protection in digital educational tools.</w:t>
      </w:r>
    </w:p>
    <w:p>
      <w:pPr>
        <w:spacing w:after="80" w:before="120"/>
        <w:jc w:val="center"/>
      </w:pPr>
      <w:r>
        <w:drawing>
          <wp:inline distT="0" distB="0" distL="0" distR="0">
            <wp:extent cx="4000500" cy="24765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00500" cy="2476500"/>
                    </a:xfrm>
                    <a:prstGeom prst="rect">
                      <a:avLst/>
                    </a:prstGeom>
                  </pic:spPr>
                </pic:pic>
              </a:graphicData>
            </a:graphic>
          </wp:inline>
        </w:drawing>
      </w:r>
    </w:p>
    <w:p>
      <w:pPr>
        <w:spacing w:after="120" w:before="40"/>
        <w:jc w:val="center"/>
      </w:pPr>
      <w:r>
        <w:rPr>
          <w:rFonts w:ascii="Calibri" w:cs="Calibri" w:eastAsia="Calibri" w:hAnsi="Calibri"/>
          <w:i/>
          <w:iCs/>
          <w:color w:val="666666"/>
          <w:sz w:val="18"/>
          <w:szCs w:val="18"/>
        </w:rPr>
        <w:t xml:space="preserve">Plate 5.1: Community Demonstration — Demonstrating Udaan portal to youth near Govandi Flyover, Mumbai (GPS Lat: 19.062197°, Long: 72.917093°)</w:t>
      </w:r>
    </w:p>
    <w:p>
      <w:pPr>
        <w:pStyle w:val="Heading2"/>
        <w:spacing w:after="100" w:before="240"/>
      </w:pPr>
      <w:r>
        <w:rPr>
          <w:rFonts w:ascii="Calibri" w:cs="Calibri" w:eastAsia="Calibri" w:hAnsi="Calibri"/>
          <w:b/>
          <w:bCs/>
          <w:color w:val="C66B4E"/>
          <w:sz w:val="24"/>
          <w:szCs w:val="24"/>
        </w:rPr>
        <w:t xml:space="preserve">5.2 Recommendations and Future Enhancements</w:t>
      </w:r>
    </w:p>
    <w:p>
      <w:pPr>
        <w:spacing w:after="60" w:before="60" w:line="300"/>
      </w:pPr>
      <w:r>
        <w:rPr>
          <w:rFonts w:ascii="Calibri" w:cs="Calibri" w:eastAsia="Calibri" w:hAnsi="Calibri"/>
          <w:color w:val="303832"/>
          <w:sz w:val="22"/>
          <w:szCs w:val="22"/>
        </w:rPr>
        <w:t xml:space="preserve">While the current version of Udaan provides a complete and robust client-side platform, the following future enhancements are recommended for subsequent phases:</w:t>
      </w:r>
    </w:p>
    <w:p>
      <w:pPr>
        <w:pStyle w:val="ListParagraph"/>
        <w:numPr>
          <w:ilvl w:val="0"/>
          <w:numId w:val="1"/>
        </w:numPr>
        <w:spacing w:after="40" w:before="40" w:line="280"/>
      </w:pPr>
      <w:r>
        <w:rPr>
          <w:rFonts w:ascii="Calibri" w:cs="Calibri" w:eastAsia="Calibri" w:hAnsi="Calibri"/>
          <w:b/>
          <w:bCs/>
          <w:color w:val="234B38"/>
          <w:sz w:val="22"/>
          <w:szCs w:val="22"/>
        </w:rPr>
        <w:t xml:space="preserve">AI Vernacular Voice Assistant:</w:t>
      </w:r>
      <w:r>
        <w:rPr>
          <w:rFonts w:ascii="Calibri" w:cs="Calibri" w:eastAsia="Calibri" w:hAnsi="Calibri"/>
          <w:color w:val="303832"/>
          <w:sz w:val="22"/>
          <w:szCs w:val="22"/>
        </w:rPr>
        <w:t xml:space="preserve"> Integrate conversational speech recognition in Marathi, Hindi, and regional dialects to allow illiterate parents to ask spoken career and scholarship questions.</w:t>
      </w:r>
    </w:p>
    <w:p>
      <w:pPr>
        <w:pStyle w:val="ListParagraph"/>
        <w:numPr>
          <w:ilvl w:val="0"/>
          <w:numId w:val="1"/>
        </w:numPr>
        <w:spacing w:after="40" w:before="40" w:line="280"/>
      </w:pPr>
      <w:r>
        <w:rPr>
          <w:rFonts w:ascii="Calibri" w:cs="Calibri" w:eastAsia="Calibri" w:hAnsi="Calibri"/>
          <w:b/>
          <w:bCs/>
          <w:color w:val="234B38"/>
          <w:sz w:val="22"/>
          <w:szCs w:val="22"/>
        </w:rPr>
        <w:t xml:space="preserve">WhatsApp Bot Integration:</w:t>
      </w:r>
      <w:r>
        <w:rPr>
          <w:rFonts w:ascii="Calibri" w:cs="Calibri" w:eastAsia="Calibri" w:hAnsi="Calibri"/>
          <w:color w:val="303832"/>
          <w:sz w:val="22"/>
          <w:szCs w:val="22"/>
        </w:rPr>
        <w:t xml:space="preserve"> Because WhatsApp is universally accessible even on low-end devices, deploying a lightweight Udaan WhatsApp chatbot can deliver automated MahaDBT deadline alerts directly to students.</w:t>
      </w:r>
    </w:p>
    <w:p>
      <w:pPr>
        <w:pStyle w:val="ListParagraph"/>
        <w:numPr>
          <w:ilvl w:val="0"/>
          <w:numId w:val="1"/>
        </w:numPr>
        <w:spacing w:after="40" w:before="40" w:line="280"/>
      </w:pPr>
      <w:r>
        <w:rPr>
          <w:rFonts w:ascii="Calibri" w:cs="Calibri" w:eastAsia="Calibri" w:hAnsi="Calibri"/>
          <w:b/>
          <w:bCs/>
          <w:color w:val="234B38"/>
          <w:sz w:val="22"/>
          <w:szCs w:val="22"/>
        </w:rPr>
        <w:t xml:space="preserve">Automated Document OCR Readiness Checker:</w:t>
      </w:r>
      <w:r>
        <w:rPr>
          <w:rFonts w:ascii="Calibri" w:cs="Calibri" w:eastAsia="Calibri" w:hAnsi="Calibri"/>
          <w:color w:val="303832"/>
          <w:sz w:val="22"/>
          <w:szCs w:val="22"/>
        </w:rPr>
        <w:t xml:space="preserve"> Incorporate client-side document scanning using lightweight optical character recognition to verify that a student’s income and caste certificates meet MahaDBT validity criteria before applying.</w:t>
      </w:r>
    </w:p>
    <w:p>
      <w:pPr>
        <w:pStyle w:val="ListParagraph"/>
        <w:numPr>
          <w:ilvl w:val="0"/>
          <w:numId w:val="1"/>
        </w:numPr>
        <w:spacing w:after="40" w:before="40" w:line="280"/>
      </w:pPr>
      <w:r>
        <w:rPr>
          <w:rFonts w:ascii="Calibri" w:cs="Calibri" w:eastAsia="Calibri" w:hAnsi="Calibri"/>
          <w:b/>
          <w:bCs/>
          <w:color w:val="234B38"/>
          <w:sz w:val="22"/>
          <w:szCs w:val="22"/>
        </w:rPr>
        <w:t xml:space="preserve">State Portal API Partnerships:</w:t>
      </w:r>
      <w:r>
        <w:rPr>
          <w:rFonts w:ascii="Calibri" w:cs="Calibri" w:eastAsia="Calibri" w:hAnsi="Calibri"/>
          <w:color w:val="303832"/>
          <w:sz w:val="22"/>
          <w:szCs w:val="22"/>
        </w:rPr>
        <w:t xml:space="preserve"> Collaborate with the Maharashtra State Innovation Society and Department of Higher and Technical Education to enable direct single-sign-on (SSO) with MahaDBT.</w:t>
      </w:r>
    </w:p>
    <w:p>
      <w:pPr>
        <w:pageBreakBefore/>
      </w:pPr>
    </w:p>
    <w:p>
      <w:pPr>
        <w:pStyle w:val="Heading1"/>
        <w:spacing w:after="140" w:before="360"/>
      </w:pPr>
      <w:r>
        <w:rPr>
          <w:rFonts w:ascii="Calibri" w:cs="Calibri" w:eastAsia="Calibri" w:hAnsi="Calibri"/>
          <w:b/>
          <w:bCs/>
          <w:color w:val="234B38"/>
          <w:sz w:val="28"/>
          <w:szCs w:val="28"/>
        </w:rPr>
        <w:t xml:space="preserve">6. REFERENCES &amp; BIBLIOGRAPHY</w:t>
      </w:r>
    </w:p>
    <w:p>
      <w:pPr>
        <w:spacing w:after="60" w:before="60" w:line="300"/>
      </w:pPr>
      <w:r>
        <w:rPr>
          <w:rFonts w:ascii="Calibri" w:cs="Calibri" w:eastAsia="Calibri" w:hAnsi="Calibri"/>
          <w:color w:val="303832"/>
          <w:sz w:val="22"/>
          <w:szCs w:val="22"/>
        </w:rPr>
        <w:t xml:space="preserve">The following official portals, government publications, and academic resources were consulted during the planning, field research, and implementation of the Udaan portal:</w:t>
      </w:r>
    </w:p>
    <w:p>
      <w:pPr>
        <w:pStyle w:val="ListParagraph"/>
        <w:numPr>
          <w:ilvl w:val="0"/>
          <w:numId w:val="1"/>
        </w:numPr>
        <w:spacing w:after="40" w:before="40" w:line="280"/>
      </w:pPr>
      <w:r>
        <w:rPr>
          <w:rFonts w:ascii="Calibri" w:cs="Calibri" w:eastAsia="Calibri" w:hAnsi="Calibri"/>
          <w:b/>
          <w:bCs/>
          <w:color w:val="234B38"/>
          <w:sz w:val="22"/>
          <w:szCs w:val="22"/>
        </w:rPr>
        <w:t xml:space="preserve">[1]</w:t>
      </w:r>
      <w:r>
        <w:rPr>
          <w:rFonts w:ascii="Calibri" w:cs="Calibri" w:eastAsia="Calibri" w:hAnsi="Calibri"/>
          <w:color w:val="303832"/>
          <w:sz w:val="22"/>
          <w:szCs w:val="22"/>
        </w:rPr>
        <w:t xml:space="preserve"> Government of Maharashtra. MahaDBT Portal (Direct Benefit Transfer). Available at: https://mahadbt.maharashtra.gov.in/</w:t>
      </w:r>
    </w:p>
    <w:p>
      <w:pPr>
        <w:pStyle w:val="ListParagraph"/>
        <w:numPr>
          <w:ilvl w:val="0"/>
          <w:numId w:val="1"/>
        </w:numPr>
        <w:spacing w:after="40" w:before="40" w:line="280"/>
      </w:pPr>
      <w:r>
        <w:rPr>
          <w:rFonts w:ascii="Calibri" w:cs="Calibri" w:eastAsia="Calibri" w:hAnsi="Calibri"/>
          <w:b/>
          <w:bCs/>
          <w:color w:val="234B38"/>
          <w:sz w:val="22"/>
          <w:szCs w:val="22"/>
        </w:rPr>
        <w:t xml:space="preserve">[2]</w:t>
      </w:r>
      <w:r>
        <w:rPr>
          <w:rFonts w:ascii="Calibri" w:cs="Calibri" w:eastAsia="Calibri" w:hAnsi="Calibri"/>
          <w:color w:val="303832"/>
          <w:sz w:val="22"/>
          <w:szCs w:val="22"/>
        </w:rPr>
        <w:t xml:space="preserve"> Ministry of Education, Government of India. National Scholarship Portal (NSP). Available at: https://scholarships.gov.in/</w:t>
      </w:r>
    </w:p>
    <w:p>
      <w:pPr>
        <w:pStyle w:val="ListParagraph"/>
        <w:numPr>
          <w:ilvl w:val="0"/>
          <w:numId w:val="1"/>
        </w:numPr>
        <w:spacing w:after="40" w:before="40" w:line="280"/>
      </w:pPr>
      <w:r>
        <w:rPr>
          <w:rFonts w:ascii="Calibri" w:cs="Calibri" w:eastAsia="Calibri" w:hAnsi="Calibri"/>
          <w:b/>
          <w:bCs/>
          <w:color w:val="234B38"/>
          <w:sz w:val="22"/>
          <w:szCs w:val="22"/>
        </w:rPr>
        <w:t xml:space="preserve">[3]</w:t>
      </w:r>
      <w:r>
        <w:rPr>
          <w:rFonts w:ascii="Calibri" w:cs="Calibri" w:eastAsia="Calibri" w:hAnsi="Calibri"/>
          <w:color w:val="303832"/>
          <w:sz w:val="22"/>
          <w:szCs w:val="22"/>
        </w:rPr>
        <w:t xml:space="preserve"> Directorate of Technical Education (DTE), Maharashtra State. Centralized Admission Process (CAP) Guidelines. Available at: https://dtemaharashtra.gov.in/</w:t>
      </w:r>
    </w:p>
    <w:p>
      <w:pPr>
        <w:pStyle w:val="ListParagraph"/>
        <w:numPr>
          <w:ilvl w:val="0"/>
          <w:numId w:val="1"/>
        </w:numPr>
        <w:spacing w:after="40" w:before="40" w:line="280"/>
      </w:pPr>
      <w:r>
        <w:rPr>
          <w:rFonts w:ascii="Calibri" w:cs="Calibri" w:eastAsia="Calibri" w:hAnsi="Calibri"/>
          <w:b/>
          <w:bCs/>
          <w:color w:val="234B38"/>
          <w:sz w:val="22"/>
          <w:szCs w:val="22"/>
        </w:rPr>
        <w:t xml:space="preserve">[4]</w:t>
      </w:r>
      <w:r>
        <w:rPr>
          <w:rFonts w:ascii="Calibri" w:cs="Calibri" w:eastAsia="Calibri" w:hAnsi="Calibri"/>
          <w:color w:val="303832"/>
          <w:sz w:val="22"/>
          <w:szCs w:val="22"/>
        </w:rPr>
        <w:t xml:space="preserve"> Ministry of Skill Development and Entrepreneurship, Government of India. Craftsmen Training Scheme (CTS) ITI Portal. Available at: https://www.dgt.gov.in/</w:t>
      </w:r>
    </w:p>
    <w:p>
      <w:pPr>
        <w:pStyle w:val="ListParagraph"/>
        <w:numPr>
          <w:ilvl w:val="0"/>
          <w:numId w:val="1"/>
        </w:numPr>
        <w:spacing w:after="40" w:before="40" w:line="280"/>
      </w:pPr>
      <w:r>
        <w:rPr>
          <w:rFonts w:ascii="Calibri" w:cs="Calibri" w:eastAsia="Calibri" w:hAnsi="Calibri"/>
          <w:b/>
          <w:bCs/>
          <w:color w:val="234B38"/>
          <w:sz w:val="22"/>
          <w:szCs w:val="22"/>
        </w:rPr>
        <w:t xml:space="preserve">[5]</w:t>
      </w:r>
      <w:r>
        <w:rPr>
          <w:rFonts w:ascii="Calibri" w:cs="Calibri" w:eastAsia="Calibri" w:hAnsi="Calibri"/>
          <w:color w:val="303832"/>
          <w:sz w:val="22"/>
          <w:szCs w:val="22"/>
        </w:rPr>
        <w:t xml:space="preserve"> National Council of Educational Research and Training (NCERT). Career Guidance and Counselling Guidelines for Secondary Schools, New Delhi, 2024.</w:t>
      </w:r>
    </w:p>
    <w:p>
      <w:pPr>
        <w:pStyle w:val="ListParagraph"/>
        <w:numPr>
          <w:ilvl w:val="0"/>
          <w:numId w:val="1"/>
        </w:numPr>
        <w:spacing w:after="40" w:before="40" w:line="280"/>
      </w:pPr>
      <w:r>
        <w:rPr>
          <w:rFonts w:ascii="Calibri" w:cs="Calibri" w:eastAsia="Calibri" w:hAnsi="Calibri"/>
          <w:b/>
          <w:bCs/>
          <w:color w:val="234B38"/>
          <w:sz w:val="22"/>
          <w:szCs w:val="22"/>
        </w:rPr>
        <w:t xml:space="preserve">[6]</w:t>
      </w:r>
      <w:r>
        <w:rPr>
          <w:rFonts w:ascii="Calibri" w:cs="Calibri" w:eastAsia="Calibri" w:hAnsi="Calibri"/>
          <w:color w:val="303832"/>
          <w:sz w:val="22"/>
          <w:szCs w:val="22"/>
        </w:rPr>
        <w:t xml:space="preserve"> National Education Policy (NEP) 2020. Ministry of Human Resource Development, Government of India.</w:t>
      </w:r>
    </w:p>
    <w:p>
      <w:pPr>
        <w:pStyle w:val="ListParagraph"/>
        <w:numPr>
          <w:ilvl w:val="0"/>
          <w:numId w:val="1"/>
        </w:numPr>
        <w:spacing w:after="40" w:before="40" w:line="280"/>
      </w:pPr>
      <w:r>
        <w:rPr>
          <w:rFonts w:ascii="Calibri" w:cs="Calibri" w:eastAsia="Calibri" w:hAnsi="Calibri"/>
          <w:b/>
          <w:bCs/>
          <w:color w:val="234B38"/>
          <w:sz w:val="22"/>
          <w:szCs w:val="22"/>
        </w:rPr>
        <w:t xml:space="preserve">[7]</w:t>
      </w:r>
      <w:r>
        <w:rPr>
          <w:rFonts w:ascii="Calibri" w:cs="Calibri" w:eastAsia="Calibri" w:hAnsi="Calibri"/>
          <w:color w:val="303832"/>
          <w:sz w:val="22"/>
          <w:szCs w:val="22"/>
        </w:rPr>
        <w:t xml:space="preserve"> React Documentation and Architecture Standards. Available at: https://react.dev/</w:t>
      </w:r>
    </w:p>
    <w:p>
      <w:pPr>
        <w:pStyle w:val="ListParagraph"/>
        <w:numPr>
          <w:ilvl w:val="0"/>
          <w:numId w:val="1"/>
        </w:numPr>
        <w:spacing w:after="40" w:before="40" w:line="280"/>
      </w:pPr>
      <w:r>
        <w:rPr>
          <w:rFonts w:ascii="Calibri" w:cs="Calibri" w:eastAsia="Calibri" w:hAnsi="Calibri"/>
          <w:b/>
          <w:bCs/>
          <w:color w:val="234B38"/>
          <w:sz w:val="22"/>
          <w:szCs w:val="22"/>
        </w:rPr>
        <w:t xml:space="preserve">[8]</w:t>
      </w:r>
      <w:r>
        <w:rPr>
          <w:rFonts w:ascii="Calibri" w:cs="Calibri" w:eastAsia="Calibri" w:hAnsi="Calibri"/>
          <w:color w:val="303832"/>
          <w:sz w:val="22"/>
          <w:szCs w:val="22"/>
        </w:rPr>
        <w:t xml:space="preserve"> TypeScript Handbook and Type Safety Specifications. Microsoft Corporation. Available at: https://www.typescriptlang.org/</w:t>
      </w:r>
    </w:p>
    <w:p>
      <w:pPr>
        <w:pStyle w:val="ListParagraph"/>
        <w:numPr>
          <w:ilvl w:val="0"/>
          <w:numId w:val="1"/>
        </w:numPr>
        <w:spacing w:after="40" w:before="40" w:line="280"/>
      </w:pPr>
      <w:r>
        <w:rPr>
          <w:rFonts w:ascii="Calibri" w:cs="Calibri" w:eastAsia="Calibri" w:hAnsi="Calibri"/>
          <w:b/>
          <w:bCs/>
          <w:color w:val="234B38"/>
          <w:sz w:val="22"/>
          <w:szCs w:val="22"/>
        </w:rPr>
        <w:t xml:space="preserve">[9]</w:t>
      </w:r>
      <w:r>
        <w:rPr>
          <w:rFonts w:ascii="Calibri" w:cs="Calibri" w:eastAsia="Calibri" w:hAnsi="Calibri"/>
          <w:color w:val="303832"/>
          <w:sz w:val="22"/>
          <w:szCs w:val="22"/>
        </w:rPr>
        <w:t xml:space="preserve"> Vite Next-Generation Frontend Tooling. Available at: https://vite.dev/</w:t>
      </w:r>
    </w:p>
    <w:p>
      <w:pPr>
        <w:pStyle w:val="ListParagraph"/>
        <w:numPr>
          <w:ilvl w:val="0"/>
          <w:numId w:val="1"/>
        </w:numPr>
        <w:spacing w:after="40" w:before="40" w:line="280"/>
      </w:pPr>
      <w:r>
        <w:rPr>
          <w:rFonts w:ascii="Calibri" w:cs="Calibri" w:eastAsia="Calibri" w:hAnsi="Calibri"/>
          <w:b/>
          <w:bCs/>
          <w:color w:val="234B38"/>
          <w:sz w:val="22"/>
          <w:szCs w:val="22"/>
        </w:rPr>
        <w:t xml:space="preserve">[10]</w:t>
      </w:r>
      <w:r>
        <w:rPr>
          <w:rFonts w:ascii="Calibri" w:cs="Calibri" w:eastAsia="Calibri" w:hAnsi="Calibri"/>
          <w:color w:val="303832"/>
          <w:sz w:val="22"/>
          <w:szCs w:val="22"/>
        </w:rPr>
        <w:t xml:space="preserve"> World Wide Web Consortium (W3C). Web Content Accessibility Guidelines (WCAG) 2.1 Level AA Standards. Available at: https://www.w3.org/WAI/standards-guidelines/wcag/</w:t>
      </w:r>
    </w:p>
    <w:p>
      <w:pPr>
        <w:pStyle w:val="ListParagraph"/>
        <w:numPr>
          <w:ilvl w:val="0"/>
          <w:numId w:val="1"/>
        </w:numPr>
        <w:spacing w:after="40" w:before="40" w:line="280"/>
      </w:pPr>
      <w:r>
        <w:rPr>
          <w:rFonts w:ascii="Calibri" w:cs="Calibri" w:eastAsia="Calibri" w:hAnsi="Calibri"/>
          <w:b/>
          <w:bCs/>
          <w:color w:val="234B38"/>
          <w:sz w:val="22"/>
          <w:szCs w:val="22"/>
        </w:rPr>
        <w:t xml:space="preserve">[11]</w:t>
      </w:r>
      <w:r>
        <w:rPr>
          <w:rFonts w:ascii="Calibri" w:cs="Calibri" w:eastAsia="Calibri" w:hAnsi="Calibri"/>
          <w:color w:val="303832"/>
          <w:sz w:val="22"/>
          <w:szCs w:val="22"/>
        </w:rPr>
        <w:t xml:space="preserve"> University Grants Commission (UGC), New Delhi. Fee Concession &amp; Anti-Capitation Policies for Higher Education Institutions. Available at: https://www.ugc.gov.in/</w:t>
      </w:r>
    </w:p>
    <w:p>
      <w:pPr>
        <w:spacing w:after="120" w:before="240"/>
      </w:pPr>
    </w:p>
    <w:p>
      <w:pPr>
        <w:spacing w:after="60" w:before="60"/>
        <w:jc w:val="center"/>
      </w:pPr>
      <w:r>
        <w:rPr>
          <w:rFonts w:ascii="Calibri" w:cs="Calibri" w:eastAsia="Calibri" w:hAnsi="Calibri"/>
          <w:b/>
          <w:bCs/>
          <w:color w:val="234B38"/>
          <w:sz w:val="20"/>
          <w:szCs w:val="20"/>
        </w:rPr>
        <w:t xml:space="preserve">*** END OF PROJECT VIVA DOCUMENTATION ***</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f7dcf54c7e37847aac55d630b8a8efde3db0306.undefined"/><Relationship Id="rId8" Type="http://schemas.openxmlformats.org/officeDocument/2006/relationships/image" Target="media/76049ca181ea11e544a186c2f815e4c6b605561f.undefined"/><Relationship Id="rId9" Type="http://schemas.openxmlformats.org/officeDocument/2006/relationships/image" Target="media/75a45f1de0ddf76d28f13496cfbabffbc019171b.undefined"/><Relationship Id="rId10" Type="http://schemas.openxmlformats.org/officeDocument/2006/relationships/image" Target="media/97f78c1809e41bc18902748bdbe8697e59b0b98e.undefined"/><Relationship Id="rId11" Type="http://schemas.openxmlformats.org/officeDocument/2006/relationships/image" Target="media/ffae23e5bf071f1bc2e8519f57a9c8b641ead55f.undefined"/><Relationship Id="rId12" Type="http://schemas.openxmlformats.org/officeDocument/2006/relationships/image" Target="media/02118b5f3a82defbc134b0f13a57afe0c4f05d7b.undefined"/><Relationship Id="rId13" Type="http://schemas.openxmlformats.org/officeDocument/2006/relationships/image" Target="media/d581587ea46740b55b020ff5e3393506452e9673.undefined"/><Relationship Id="rId14" Type="http://schemas.openxmlformats.org/officeDocument/2006/relationships/image" Target="media/573f7399929b80fb42f53759ae162e776e26b347.undefined"/><Relationship Id="rId15" Type="http://schemas.openxmlformats.org/officeDocument/2006/relationships/image" Target="media/2303177df0584bbf51d286026c4df31b1aa5f011.undefined"/><Relationship Id="rId16" Type="http://schemas.openxmlformats.org/officeDocument/2006/relationships/image" Target="media/8c35e33f96daf1aa6d3de85a5cca151a31c0449b.undefined"/><Relationship Id="rId17" Type="http://schemas.openxmlformats.org/officeDocument/2006/relationships/image" Target="media/d3f7aea0c6c64a3ef3531ac6549f9d2ce0a63c6b.undefined"/><Relationship Id="rId18" Type="http://schemas.openxmlformats.org/officeDocument/2006/relationships/image" Target="media/987ef0b218672fbcd39099040ae92d8720fc2457.undefined"/><Relationship Id="rId19" Type="http://schemas.openxmlformats.org/officeDocument/2006/relationships/image" Target="media/d1b40cfe84e45722478c9a5b24e581456cda2cfd.undefined"/><Relationship Id="rId20" Type="http://schemas.openxmlformats.org/officeDocument/2006/relationships/image" Target="media/7f7a1530af7083f27c4e169a4e390dcae95652cd.undefined"/><Relationship Id="rId21" Type="http://schemas.openxmlformats.org/officeDocument/2006/relationships/image" Target="media/01384ef62fdfda43143802fcce0895cafcd72cda.undefined"/><Relationship Id="rId22" Type="http://schemas.openxmlformats.org/officeDocument/2006/relationships/image" Target="media/c0fac7acbcbe3f5c8a0c488598ee6b3549812541.undefined"/><Relationship Id="rId23" Type="http://schemas.openxmlformats.org/officeDocument/2006/relationships/image" Target="media/79871022245f1977b380134b877c69458367c63f.undefined"/><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Career Guidance Portal for Underprivileged Students (Udaan)</dc:title>
  <dc:creator>Zeeshaan Shaikh</dc:creator>
  <dc:description>Community Engagement Program (CEP) Final Year IT Project Report</dc:description>
  <cp:lastModifiedBy>Un-named</cp:lastModifiedBy>
  <cp:revision>1</cp:revision>
  <dcterms:created xsi:type="dcterms:W3CDTF">2026-10-23T16:55:33.775Z</dcterms:created>
  <dcterms:modified xsi:type="dcterms:W3CDTF">2026-10-23T16:55:33.777Z</dcterms:modified>
</cp:coreProperties>
</file>

<file path=docProps/custom.xml><?xml version="1.0" encoding="utf-8"?>
<Properties xmlns="http://schemas.openxmlformats.org/officeDocument/2006/custom-properties" xmlns:vt="http://schemas.openxmlformats.org/officeDocument/2006/docPropsVTypes"/>
</file>