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2-20T00:00:00Z">
                  <w:dateFormat w:val="M/d/yyyy"/>
                  <w:lid w:val="en-US"/>
                  <w:storeMappedDataAs w:val="dateTime"/>
                  <w:calendar w:val="gregorian"/>
                </w:date>
              </w:sdtPr>
              <w:sdtEndPr/>
              <w:sdtContent>
                <w:tc>
                  <w:tcPr>
                    <w:tcW w:w="5000" w:type="pct"/>
                    <w:vAlign w:val="center"/>
                  </w:tcPr>
                  <w:p w:rsidR="00D41E8A" w:rsidRDefault="00C054F6" w:rsidP="00C054F6">
                    <w:pPr>
                      <w:pStyle w:val="NoSpacing"/>
                      <w:jc w:val="center"/>
                      <w:rPr>
                        <w:b/>
                        <w:bCs/>
                      </w:rPr>
                    </w:pPr>
                    <w:r>
                      <w:rPr>
                        <w:b/>
                        <w:bCs/>
                      </w:rPr>
                      <w:t>2</w:t>
                    </w:r>
                    <w:r w:rsidR="00C33132">
                      <w:rPr>
                        <w:b/>
                        <w:bCs/>
                      </w:rPr>
                      <w:t>/20</w:t>
                    </w:r>
                    <w:r w:rsidR="00C62EEB">
                      <w:rPr>
                        <w:b/>
                        <w:bCs/>
                      </w:rPr>
                      <w:t>/201</w:t>
                    </w:r>
                    <w:r>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14765695"/>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3D698A">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D698A">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D698A">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D698A">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3D698A">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3D698A">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D698A">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3D698A">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D698A">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D698A">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3D698A">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D698A">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3D698A">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3D698A">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3D698A">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D698A">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D698A">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D698A">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D698A">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D698A">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3D698A">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3D698A">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3D698A">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3D698A">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3D698A">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3D698A">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3D698A">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3D698A">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3D698A">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3D698A">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D698A">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D698A">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3D698A">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D698A">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D698A">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D698A">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D698A">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D698A">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3D698A">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D698A">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D698A">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3D698A">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D698A">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D698A">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3D698A">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D698A">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D698A">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D698A">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D698A">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D698A">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3D698A">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D698A">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D698A">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D698A">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3D698A">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3D698A">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3D698A">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3D698A">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14765696"/>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14765697"/>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14765698"/>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14765699"/>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314765700"/>
      <w:bookmarkStart w:id="32" w:name="_Toc277669284"/>
      <w:bookmarkStart w:id="33" w:name="_Toc277669285"/>
      <w:bookmarkEnd w:id="0"/>
      <w:r w:rsidRPr="00BB348C">
        <w:t>Use Cases</w:t>
      </w:r>
      <w:r w:rsidR="00E3127F">
        <w:t xml:space="preserve"> for the OVAL Language</w:t>
      </w:r>
      <w:bookmarkEnd w:id="31"/>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14765701"/>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14765702"/>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14765703"/>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14765704"/>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14765705"/>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14765706"/>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14765707"/>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14765708"/>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14765709"/>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14765710"/>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14765711"/>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14765712"/>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14765713"/>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14765714"/>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14765715"/>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14765716"/>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14765717"/>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14765718"/>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2"/>
      <w:bookmarkEnd w:id="33"/>
    </w:p>
    <w:p w:rsidR="00717261" w:rsidRDefault="00717261" w:rsidP="007C5160">
      <w:pPr>
        <w:pStyle w:val="Heading2"/>
      </w:pPr>
      <w:bookmarkStart w:id="53" w:name="_Toc314765719"/>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14765720"/>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14765721"/>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14765722"/>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14765723"/>
      <w:r w:rsidRPr="00DA2458">
        <w:lastRenderedPageBreak/>
        <w:t>Security Information Management Systems (SIMS)</w:t>
      </w:r>
      <w:bookmarkEnd w:id="57"/>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14765724"/>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14765725"/>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14765726"/>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14765727"/>
      <w:r w:rsidRPr="001B1AF6">
        <w:t>Expressing Expected Configuration State</w:t>
      </w:r>
      <w:bookmarkEnd w:id="61"/>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2" w:name="_Toc314765728"/>
      <w:r w:rsidRPr="001B1AF6">
        <w:t>Representing Observed Configuration State</w:t>
      </w:r>
      <w:bookmarkEnd w:id="62"/>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3" w:name="_Toc314765729"/>
      <w:r w:rsidRPr="001B1AF6">
        <w:t>Expressing Assessment Results</w:t>
      </w:r>
      <w:bookmarkEnd w:id="63"/>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14765730"/>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1476573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14765732"/>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14765733"/>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14765734"/>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14765735"/>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14765736"/>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18FD96EA" wp14:editId="53934BDA">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14765737"/>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14765738"/>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14765739"/>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14765740"/>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3" w:name="_Toc314765741"/>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14765742"/>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14765743"/>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14765744"/>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14765745"/>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14765746"/>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14765747"/>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8"/>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14765749"/>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14765750"/>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14765751"/>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14765752"/>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14765753"/>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14765754"/>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14765755"/>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14765756"/>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79" w:name="_Toc314765757"/>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14765758"/>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14765759"/>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14765760"/>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14765761"/>
      <w:r>
        <w:t>Signature</w:t>
      </w:r>
      <w:bookmarkEnd w:id="183"/>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4" w:name="_Toc314765762"/>
      <w:r>
        <w:t>OVAL Definitions Model</w:t>
      </w:r>
      <w:bookmarkEnd w:id="184"/>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5" w:name="_Toc314765763"/>
      <w:r>
        <w:rPr>
          <w:rFonts w:eastAsia="Times New Roman"/>
        </w:rPr>
        <w:t>oval_definitions</w:t>
      </w:r>
      <w:bookmarkEnd w:id="185"/>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54D1C78E" wp14:editId="0EE178DE">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6" w:name="_Toc314765764"/>
      <w:r>
        <w:t>DefinitionsType</w:t>
      </w:r>
      <w:bookmarkEnd w:id="186"/>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7" w:name="_Toc314765765"/>
      <w:r>
        <w:t>DefinitionType</w:t>
      </w:r>
      <w:bookmarkEnd w:id="187"/>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7AE68DCC" wp14:editId="79DAD14E">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8" w:name="_Toc314765766"/>
      <w:r>
        <w:lastRenderedPageBreak/>
        <w:t>MetadataType</w:t>
      </w:r>
      <w:bookmarkEnd w:id="188"/>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5A9C8376" wp14:editId="416C35E3">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89" w:name="_Toc314765767"/>
      <w:r>
        <w:t>AffectedType</w:t>
      </w:r>
      <w:bookmarkEnd w:id="189"/>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0" w:name="_Toc314765768"/>
      <w:r>
        <w:t>ReferenceType</w:t>
      </w:r>
      <w:bookmarkEnd w:id="190"/>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1" w:name="_Toc314765769"/>
      <w:r>
        <w:lastRenderedPageBreak/>
        <w:t>NotesType</w:t>
      </w:r>
      <w:bookmarkEnd w:id="191"/>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2" w:name="_Toc314765770"/>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6F5C0E25" wp14:editId="399782A0">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14765771"/>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47AFE3C" wp14:editId="7D77E98F">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14765772"/>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C4801C4" wp14:editId="7178AEE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3"/>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14765774"/>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14765775"/>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14765776"/>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14765777"/>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14765778"/>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14765779"/>
      <w:r>
        <w:t>set</w:t>
      </w:r>
      <w:bookmarkEnd w:id="201"/>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14765780"/>
      <w:r>
        <w:lastRenderedPageBreak/>
        <w:t>filter</w:t>
      </w:r>
      <w:bookmarkEnd w:id="202"/>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14765781"/>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14765782"/>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14765783"/>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14765784"/>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14765785"/>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14765786"/>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14765787"/>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14765788"/>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14765789"/>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14765790"/>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14765791"/>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14765792"/>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14765793"/>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14765794"/>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14765795"/>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14765796"/>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14765797"/>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14765798"/>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9"/>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14765800"/>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14765801"/>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2"/>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3"/>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4"/>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5"/>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14765806"/>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14765807"/>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14765808"/>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14765809"/>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14765810"/>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14765811"/>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14765812"/>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14765813"/>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14765814"/>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14765815"/>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14765816"/>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7"/>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8"/>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9"/>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20"/>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1"/>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2"/>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14765823"/>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14765824"/>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14765825"/>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14765826"/>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14765827"/>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14765828"/>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9"/>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30"/>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1"/>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2"/>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3"/>
      <w:r>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4"/>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5"/>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6"/>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7"/>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8"/>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9"/>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14765840"/>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14765841"/>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14765842"/>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55pt;height:104.3pt" o:ole="">
            <v:imagedata r:id="rId47" o:title=""/>
          </v:shape>
          <o:OLEObject Type="Embed" ProgID="Visio.Drawing.11" ShapeID="_x0000_i1025" DrawAspect="Content" ObjectID="_1422812028"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14765843"/>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14765844"/>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69" w:name="_Toc314765845"/>
      <w:r>
        <w:lastRenderedPageBreak/>
        <w:t>OVAL System Characteristics Model</w:t>
      </w:r>
      <w:bookmarkEnd w:id="269"/>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0" w:name="_Toc314765846"/>
      <w:r>
        <w:t>SystemInfoType</w:t>
      </w:r>
      <w:bookmarkEnd w:id="270"/>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1" w:name="_Toc314765847"/>
      <w:r>
        <w:t>InterfacesType</w:t>
      </w:r>
      <w:bookmarkEnd w:id="271"/>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2" w:name="_Toc314765848"/>
      <w:r>
        <w:t>InterfaceType</w:t>
      </w:r>
      <w:bookmarkEnd w:id="272"/>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3" w:name="_Toc314765849"/>
      <w:r>
        <w:t>CollectedObjectsType</w:t>
      </w:r>
      <w:bookmarkEnd w:id="273"/>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4" w:name="_Toc314765850"/>
      <w:r>
        <w:t>ObjectType</w:t>
      </w:r>
      <w:bookmarkEnd w:id="274"/>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5" w:name="_Toc314765851"/>
      <w:r>
        <w:t>VariableValueType</w:t>
      </w:r>
      <w:bookmarkEnd w:id="275"/>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6" w:name="_Toc314765852"/>
      <w:r>
        <w:t>ReferenceType</w:t>
      </w:r>
      <w:bookmarkEnd w:id="276"/>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7" w:name="_Toc314765853"/>
      <w:r w:rsidRPr="00D5316B">
        <w:t>SystemDataType</w:t>
      </w:r>
      <w:bookmarkEnd w:id="277"/>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8" w:name="_Toc314765854"/>
      <w:r>
        <w:t>ItemType</w:t>
      </w:r>
      <w:bookmarkEnd w:id="278"/>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79" w:name="_Toc314765855"/>
      <w:r>
        <w:t>EntityAttributeGroup</w:t>
      </w:r>
      <w:bookmarkEnd w:id="279"/>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0" w:name="_Toc314765856"/>
      <w:r>
        <w:t>FlagEnumeration</w:t>
      </w:r>
      <w:bookmarkEnd w:id="280"/>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1" w:name="_Toc314765857"/>
      <w:r>
        <w:t>StatusEnumeration</w:t>
      </w:r>
      <w:bookmarkEnd w:id="281"/>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2" w:name="_Toc314765858"/>
      <w:r>
        <w:t>EntityItemSimpleBaseType</w:t>
      </w:r>
      <w:bookmarkEnd w:id="282"/>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3" w:name="_Toc314765859"/>
      <w:r>
        <w:t>EntityItemComplexBaseType</w:t>
      </w:r>
      <w:bookmarkEnd w:id="283"/>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4" w:name="_Toc314765860"/>
      <w:r>
        <w:t>EntityItemIPAddressType</w:t>
      </w:r>
      <w:bookmarkEnd w:id="28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5" w:name="_Toc314765861"/>
      <w:r>
        <w:lastRenderedPageBreak/>
        <w:t>EntityItemIPAddressStringType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2"/>
      <w:r>
        <w:t>EntityItemAnySimpleType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3"/>
      <w:r>
        <w:t>EntityItemBinaryType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4"/>
      <w:r>
        <w:t>EntityItemBoolType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5"/>
      <w:r>
        <w:t>EntityItemFloatType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6"/>
      <w:r>
        <w:lastRenderedPageBreak/>
        <w:t>EntityItemIntType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7"/>
      <w:r>
        <w:t>EntityItemStringType</w:t>
      </w:r>
      <w:bookmarkEnd w:id="291"/>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2" w:name="_Toc314765868"/>
      <w:r>
        <w:t>EntityItemRecordType</w:t>
      </w:r>
      <w:bookmarkEnd w:id="292"/>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3" w:name="_Toc314765869"/>
      <w:r>
        <w:t>EntityItemFieldType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lastRenderedPageBreak/>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4" w:name="_Toc314765870"/>
      <w:r>
        <w:t>EntityItemVersionType</w:t>
      </w:r>
      <w:bookmarkEnd w:id="294"/>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5" w:name="_Toc314765871"/>
      <w:r>
        <w:t>EntityItemFileSetRevisionType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6" w:name="_Toc314765872"/>
      <w:r>
        <w:t>EntityItemIOSVersionType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7" w:name="_Toc314765873"/>
      <w:r>
        <w:t>EntityItemEVRStringType</w:t>
      </w:r>
      <w:bookmarkEnd w:id="297"/>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lastRenderedPageBreak/>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8" w:name="_Toc314765874"/>
      <w:r>
        <w:t>OVAL Results Model</w:t>
      </w:r>
      <w:bookmarkEnd w:id="298"/>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299" w:name="_Toc314765875"/>
      <w:r>
        <w:t>DirectivesType</w:t>
      </w:r>
      <w:bookmarkEnd w:id="299"/>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0" w:name="_Toc314765876"/>
      <w:r>
        <w:t>DefaultDirectivesType</w:t>
      </w:r>
      <w:bookmarkEnd w:id="300"/>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1" w:name="_Toc314765877"/>
      <w:r>
        <w:t>ClassDirectivesType</w:t>
      </w:r>
      <w:bookmarkEnd w:id="301"/>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2" w:name="_Toc314765878"/>
      <w:r>
        <w:t>DirectiveType</w:t>
      </w:r>
      <w:bookmarkEnd w:id="302"/>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3" w:name="_Toc314765879"/>
      <w:r>
        <w:t>ResultsType</w:t>
      </w:r>
      <w:bookmarkEnd w:id="303"/>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4" w:name="_Toc314765880"/>
      <w:r>
        <w:t>SystemType</w:t>
      </w:r>
      <w:bookmarkEnd w:id="304"/>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5" w:name="_Toc314765881"/>
      <w:r>
        <w:t>DefinitionType</w:t>
      </w:r>
      <w:bookmarkEnd w:id="305"/>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6" w:name="_Toc314765882"/>
      <w:r>
        <w:t>CriteriaType</w:t>
      </w:r>
      <w:bookmarkEnd w:id="306"/>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7" w:name="_Toc314765883"/>
      <w:r>
        <w:t>CriterionType</w:t>
      </w:r>
      <w:bookmarkEnd w:id="307"/>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4"/>
      <w:r>
        <w:t>ExtendDefinitionType</w:t>
      </w:r>
      <w:bookmarkEnd w:id="308"/>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09" w:name="_Toc314765885"/>
      <w:r w:rsidRPr="005D40EB">
        <w:t>TestType</w:t>
      </w:r>
      <w:bookmarkEnd w:id="309"/>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0" w:name="_Toc314765886"/>
      <w:r>
        <w:t>TestedItemType</w:t>
      </w:r>
      <w:bookmarkEnd w:id="310"/>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1" w:name="_Toc314765887"/>
      <w:r>
        <w:t>TestedVariableType</w:t>
      </w:r>
      <w:bookmarkEnd w:id="311"/>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2" w:name="_Toc314765888"/>
      <w:r>
        <w:t>ContentEnumeration</w:t>
      </w:r>
      <w:bookmarkEnd w:id="312"/>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3" w:name="_Toc314765889"/>
      <w:r>
        <w:t>ResultEnumeration</w:t>
      </w:r>
      <w:bookmarkEnd w:id="313"/>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4" w:name="_Toc314765890"/>
      <w:r>
        <w:t>OVAL Directives Model</w:t>
      </w:r>
      <w:bookmarkEnd w:id="314"/>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5" w:name="_Toc314765891"/>
      <w:r>
        <w:t>Processing</w:t>
      </w:r>
      <w:r w:rsidR="00E3127F">
        <w:t xml:space="preserve"> Model for the OVAL Language</w:t>
      </w:r>
      <w:bookmarkEnd w:id="315"/>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6" w:name="_Toc314765892"/>
      <w:r>
        <w:t>Producing OVAL Definitions</w:t>
      </w:r>
      <w:bookmarkEnd w:id="316"/>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7" w:name="_Toc314765893"/>
      <w:r>
        <w:t xml:space="preserve">Reuse of </w:t>
      </w:r>
      <w:r w:rsidR="009E17A0">
        <w:t>Definition, Test, Object, State</w:t>
      </w:r>
      <w:r w:rsidR="00EA7555">
        <w:t>,</w:t>
      </w:r>
      <w:r w:rsidR="009E17A0">
        <w:t xml:space="preserve"> and Variable</w:t>
      </w:r>
      <w:bookmarkEnd w:id="317"/>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8" w:name="_Toc314765894"/>
      <w:r>
        <w:t>Tracking Change</w:t>
      </w:r>
      <w:bookmarkEnd w:id="318"/>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19" w:name="_Toc314765895"/>
      <w:r>
        <w:t>Metadata</w:t>
      </w:r>
      <w:bookmarkEnd w:id="319"/>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0" w:name="_Toc314765896"/>
      <w:r>
        <w:t>Content Integrity and Authenticity</w:t>
      </w:r>
      <w:bookmarkEnd w:id="320"/>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1" w:name="_Toc314765897"/>
      <w:r>
        <w:t>Producing OVAL System Characteristics</w:t>
      </w:r>
      <w:bookmarkEnd w:id="321"/>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2" w:name="_Toc314765898"/>
      <w:r>
        <w:t>System Information</w:t>
      </w:r>
      <w:bookmarkEnd w:id="322"/>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3" w:name="_Toc314765899"/>
      <w:r>
        <w:t xml:space="preserve">Collected </w:t>
      </w:r>
      <w:r w:rsidR="00132084">
        <w:t>O</w:t>
      </w:r>
      <w:r>
        <w:t>bjects</w:t>
      </w:r>
      <w:bookmarkEnd w:id="323"/>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4" w:name="_Ref303796562"/>
      <w:r w:rsidRPr="00BD3303">
        <w:t>flag</w:t>
      </w:r>
      <w:r w:rsidR="003661A9">
        <w:t xml:space="preserve"> Usage</w:t>
      </w:r>
      <w:bookmarkEnd w:id="324"/>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lastRenderedPageBreak/>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5" w:name="_Toc314765900"/>
      <w:r>
        <w:t>Conveying System Data without OVAL Objects</w:t>
      </w:r>
      <w:bookmarkEnd w:id="325"/>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6" w:name="_Toc314765901"/>
      <w:r>
        <w:t xml:space="preserve">Recording </w:t>
      </w:r>
      <w:r w:rsidR="0084216D">
        <w:t>System Data</w:t>
      </w:r>
      <w:r w:rsidR="007A64FD">
        <w:t xml:space="preserve"> and OVAL Items</w:t>
      </w:r>
      <w:bookmarkEnd w:id="326"/>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7" w:name="_Ref303607608"/>
      <w:r>
        <w:t>Datatype</w:t>
      </w:r>
      <w:bookmarkEnd w:id="327"/>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8" w:name="_Toc314765902"/>
      <w:r>
        <w:t>Content Integrity and Authenticity</w:t>
      </w:r>
      <w:bookmarkEnd w:id="328"/>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29" w:name="_Toc314765903"/>
      <w:r>
        <w:t>Producing OVAL Results</w:t>
      </w:r>
      <w:bookmarkEnd w:id="329"/>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0" w:name="_Toc297714990"/>
      <w:bookmarkStart w:id="331" w:name="_Toc297715277"/>
      <w:bookmarkStart w:id="332" w:name="_Toc297715570"/>
      <w:bookmarkStart w:id="333" w:name="_Toc297715858"/>
      <w:bookmarkStart w:id="334" w:name="_Toc314765904"/>
      <w:bookmarkEnd w:id="330"/>
      <w:bookmarkEnd w:id="331"/>
      <w:bookmarkEnd w:id="332"/>
      <w:bookmarkEnd w:id="333"/>
      <w:r>
        <w:t>Definition Evaluation</w:t>
      </w:r>
      <w:bookmarkEnd w:id="334"/>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5" w:name="_Ref303608901"/>
      <w:r>
        <w:t>Negate Evaluation</w:t>
      </w:r>
      <w:bookmarkEnd w:id="335"/>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6" w:name="_Toc314765905"/>
      <w:r>
        <w:t>Test Evaluation</w:t>
      </w:r>
      <w:bookmarkEnd w:id="336"/>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7" w:name="_Toc314765906"/>
      <w:r>
        <w:t xml:space="preserve">OVAL </w:t>
      </w:r>
      <w:r w:rsidR="00B22862">
        <w:t>Object Evaluation</w:t>
      </w:r>
      <w:bookmarkEnd w:id="337"/>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8" w:name="_Ref303609053"/>
      <w:r>
        <w:t>Matching an</w:t>
      </w:r>
      <w:r w:rsidR="00B22862">
        <w:t xml:space="preserve"> OVAL Object to an OVAL Item</w:t>
      </w:r>
      <w:bookmarkEnd w:id="338"/>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39" w:name="_Ref303609067"/>
      <w:r>
        <w:t>Matching an</w:t>
      </w:r>
      <w:r w:rsidR="00B22862">
        <w:t xml:space="preserve"> OVAL Object Entity to an OVAL Item Entity</w:t>
      </w:r>
      <w:bookmarkEnd w:id="339"/>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0" w:name="_Ref303609604"/>
      <w:r>
        <w:t>Datatype and Operation Evaluation</w:t>
      </w:r>
      <w:bookmarkEnd w:id="340"/>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1" w:name="_Ref303608709"/>
      <w:r>
        <w:t>Collected Object Flag Evaluation</w:t>
      </w:r>
      <w:bookmarkEnd w:id="341"/>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2" w:name="_Ref303609435"/>
      <w:r>
        <w:t>filter</w:t>
      </w:r>
      <w:bookmarkEnd w:id="342"/>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3" w:name="_Ref300291029"/>
      <w:r>
        <w:t xml:space="preserve">OVAL </w:t>
      </w:r>
      <w:r w:rsidR="00B22862">
        <w:t>Filter</w:t>
      </w:r>
      <w:r w:rsidR="00D9124E">
        <w:t xml:space="preserve"> Evaluation</w:t>
      </w:r>
      <w:bookmarkEnd w:id="343"/>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4" w:name="_Toc314765907"/>
      <w:r>
        <w:t xml:space="preserve">OVAL </w:t>
      </w:r>
      <w:r w:rsidR="00B22862">
        <w:t>State Evaluation</w:t>
      </w:r>
      <w:bookmarkEnd w:id="344"/>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5" w:name="_Ref303609730"/>
      <w:r>
        <w:t>OVAL State Entity Evaluation</w:t>
      </w:r>
      <w:bookmarkEnd w:id="345"/>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6" w:name="_Toc314765908"/>
      <w:r>
        <w:t xml:space="preserve">OVAL </w:t>
      </w:r>
      <w:r w:rsidR="00B22862">
        <w:t>Variable Evaluation</w:t>
      </w:r>
      <w:bookmarkEnd w:id="346"/>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7" w:name="_Ref303610059"/>
      <w:r>
        <w:t>Determining the Final Result of Validating an External Variable Value</w:t>
      </w:r>
      <w:bookmarkEnd w:id="347"/>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8" w:name="_Toc314765909"/>
      <w:r>
        <w:t>Common Evaluation Concepts</w:t>
      </w:r>
      <w:bookmarkEnd w:id="348"/>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49" w:name="_Ref303605724"/>
      <w:r>
        <w:t>Check Enumeration Evaluation</w:t>
      </w:r>
      <w:bookmarkEnd w:id="349"/>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0" w:name="_Ref303609003"/>
      <w:r>
        <w:t>Operator Enumeration Evaluation</w:t>
      </w:r>
      <w:bookmarkEnd w:id="350"/>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1" w:name="_Ref303796355"/>
      <w:r>
        <w:t>OVAL Entity Evaluation</w:t>
      </w:r>
      <w:bookmarkEnd w:id="351"/>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2" w:name="_Ref303791377"/>
      <w:r>
        <w:t>Datatype and Operation Evaluation</w:t>
      </w:r>
      <w:bookmarkEnd w:id="352"/>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3"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3"/>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1"/>
            <w:r w:rsidRPr="00C264AF">
              <w:rPr>
                <w:rFonts w:ascii="Calibri" w:hAnsi="Calibri" w:cs="Times New Roman"/>
                <w:color w:val="000000"/>
                <w:lang w:bidi="ar-SA"/>
              </w:rPr>
              <w:t>ipv4_address</w:t>
            </w:r>
            <w:bookmarkEnd w:id="354"/>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The collected record value is equal to the specified record value only if each collected OVAL Field has a corresponding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5" w:name="_Ref303609342"/>
      <w:r>
        <w:t>Variable Check Evaluation</w:t>
      </w:r>
      <w:bookmarkEnd w:id="355"/>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6" w:name="_Toc314765912"/>
      <w:r>
        <w:t>Masking Data</w:t>
      </w:r>
      <w:bookmarkEnd w:id="356"/>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7" w:name="_Ref303610397"/>
      <w:bookmarkStart w:id="358" w:name="_Toc314765913"/>
      <w:bookmarkStart w:id="359" w:name="_Toc278864771"/>
      <w:r>
        <w:t>Entity Casting</w:t>
      </w:r>
      <w:bookmarkEnd w:id="357"/>
      <w:bookmarkEnd w:id="358"/>
    </w:p>
    <w:p w:rsidR="00745975" w:rsidRPr="00745975" w:rsidRDefault="00745975" w:rsidP="00745975">
      <w:pPr>
        <w:tabs>
          <w:tab w:val="center" w:pos="4680"/>
        </w:tabs>
      </w:pPr>
      <w:bookmarkStart w:id="360" w:name="_Toc278864772"/>
      <w:bookmarkEnd w:id="359"/>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1" w:name="_Toc314765914"/>
      <w:r w:rsidRPr="001970E2">
        <w:t xml:space="preserve">XML </w:t>
      </w:r>
      <w:r w:rsidR="00762A6D">
        <w:t>Representation</w:t>
      </w:r>
      <w:bookmarkEnd w:id="360"/>
      <w:bookmarkEnd w:id="361"/>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2" w:name="_Ref303608302"/>
      <w:bookmarkStart w:id="363" w:name="_Toc314765915"/>
      <w:r>
        <w:t>Signature Support</w:t>
      </w:r>
      <w:bookmarkEnd w:id="362"/>
      <w:bookmarkEnd w:id="363"/>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4" w:name="_XML_Extensions"/>
      <w:bookmarkStart w:id="365" w:name="_Ref303610855"/>
      <w:bookmarkStart w:id="366" w:name="_Toc314765916"/>
      <w:bookmarkEnd w:id="364"/>
      <w:r>
        <w:t>XML Extensions</w:t>
      </w:r>
      <w:bookmarkEnd w:id="365"/>
      <w:bookmarkEnd w:id="366"/>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7" w:name="_Toc314765917"/>
      <w:r w:rsidRPr="00910967">
        <w:t>ElementMapType</w:t>
      </w:r>
      <w:bookmarkEnd w:id="367"/>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8" w:name="_Toc314765918"/>
      <w:r w:rsidRPr="00E649EF">
        <w:t xml:space="preserve">Official </w:t>
      </w:r>
      <w:r w:rsidR="003260AF">
        <w:t>OVAL Component Model</w:t>
      </w:r>
      <w:r>
        <w:t>s</w:t>
      </w:r>
      <w:bookmarkEnd w:id="368"/>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69" w:name="_Use_of_xsi:nil"/>
      <w:bookmarkStart w:id="370" w:name="_Ref303610774"/>
      <w:bookmarkStart w:id="371" w:name="_Toc314765919"/>
      <w:bookmarkEnd w:id="369"/>
      <w:r>
        <w:t>Use of xsi:nil</w:t>
      </w:r>
      <w:bookmarkEnd w:id="370"/>
      <w:bookmarkEnd w:id="371"/>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2" w:name="_Toc314765920"/>
      <w:r>
        <w:t>Validation Requirements</w:t>
      </w:r>
      <w:bookmarkEnd w:id="372"/>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3" w:name="_Ref303605699"/>
      <w:bookmarkStart w:id="374" w:name="_Toc314765921"/>
      <w:r>
        <w:lastRenderedPageBreak/>
        <w:t xml:space="preserve">Appendix </w:t>
      </w:r>
      <w:r w:rsidR="00C43236">
        <w:t xml:space="preserve">A </w:t>
      </w:r>
      <w:r>
        <w:t>– Extending the OVAL Language Data Model</w:t>
      </w:r>
      <w:bookmarkEnd w:id="373"/>
      <w:bookmarkEnd w:id="374"/>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5" w:name="_Ref300340349"/>
      <w:bookmarkStart w:id="376" w:name="_Toc314765922"/>
      <w:r>
        <w:t>OVAL Component Model</w:t>
      </w:r>
      <w:r w:rsidR="008E0F45">
        <w:t>s</w:t>
      </w:r>
      <w:bookmarkEnd w:id="375"/>
      <w:bookmarkEnd w:id="376"/>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7" w:name="_Toc314765923"/>
      <w:r>
        <w:t>OVAL Definitions Model</w:t>
      </w:r>
      <w:bookmarkEnd w:id="377"/>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8" w:name="_New_OVAL_Entity"/>
      <w:bookmarkStart w:id="379" w:name="_Ref300339246"/>
      <w:bookmarkEnd w:id="378"/>
      <w:r>
        <w:t>New OVAL Entity</w:t>
      </w:r>
      <w:bookmarkEnd w:id="379"/>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0" w:name="_Toc314765924"/>
      <w:r>
        <w:t>OVAL System Characteristics Model</w:t>
      </w:r>
      <w:bookmarkEnd w:id="380"/>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1" w:name="_Toc314765925"/>
      <w:r>
        <w:t>Extension Points within the OVAL Definitions Model</w:t>
      </w:r>
      <w:bookmarkEnd w:id="381"/>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2" w:name="_Toc314765926"/>
      <w:r>
        <w:t>Generator Information</w:t>
      </w:r>
      <w:bookmarkEnd w:id="382"/>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3" w:name="_Toc314765927"/>
      <w:r>
        <w:t>OVAL Definition Metadata</w:t>
      </w:r>
      <w:bookmarkEnd w:id="383"/>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4" w:name="_Toc314765928"/>
      <w:r>
        <w:t>Extension Points within the OVAL System Characteristics Model</w:t>
      </w:r>
      <w:bookmarkEnd w:id="384"/>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5" w:name="_Toc314765929"/>
      <w:r>
        <w:t>Generator Information</w:t>
      </w:r>
      <w:bookmarkEnd w:id="385"/>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6" w:name="_Toc314765930"/>
      <w:r>
        <w:t>System Information</w:t>
      </w:r>
      <w:bookmarkEnd w:id="386"/>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7" w:name="_Toc314765931"/>
      <w:r>
        <w:t>OVAL Results Model</w:t>
      </w:r>
      <w:bookmarkEnd w:id="387"/>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8" w:name="_Toc314765932"/>
      <w:r>
        <w:t>Generator Information</w:t>
      </w:r>
      <w:bookmarkEnd w:id="388"/>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89"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89"/>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0" w:name="previous"/>
      <w:bookmarkStart w:id="391" w:name="previous_solutions"/>
      <w:bookmarkStart w:id="392" w:name="_Toc314765934"/>
      <w:bookmarkEnd w:id="390"/>
      <w:bookmarkEnd w:id="391"/>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2"/>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3" w:name="_Ref303607541"/>
      <w:bookmarkStart w:id="394" w:name="_Toc314765935"/>
      <w:r>
        <w:lastRenderedPageBreak/>
        <w:t xml:space="preserve">Appendix </w:t>
      </w:r>
      <w:r w:rsidR="002125A8">
        <w:t xml:space="preserve">D </w:t>
      </w:r>
      <w:r>
        <w:t xml:space="preserve">- </w:t>
      </w:r>
      <w:r w:rsidR="001E2C76" w:rsidRPr="009F6B56">
        <w:t>Regular Expression Support</w:t>
      </w:r>
      <w:bookmarkEnd w:id="393"/>
      <w:bookmarkEnd w:id="394"/>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5" w:name="_Toc314765936"/>
      <w:r>
        <w:rPr>
          <w:lang w:val="en"/>
        </w:rPr>
        <w:t>Supported Regular Expression Syntax</w:t>
      </w:r>
      <w:bookmarkEnd w:id="395"/>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6" w:name="_Toc314765937"/>
      <w:r>
        <w:rPr>
          <w:lang w:val="en"/>
        </w:rPr>
        <w:t>Metacharacters</w:t>
      </w:r>
      <w:bookmarkEnd w:id="396"/>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7" w:name="_Toc314765938"/>
      <w:r>
        <w:rPr>
          <w:lang w:val="en"/>
        </w:rPr>
        <w:t>Greedy Quantifiers</w:t>
      </w:r>
      <w:bookmarkEnd w:id="397"/>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8" w:name="_Toc314765939"/>
      <w:r>
        <w:rPr>
          <w:lang w:val="en"/>
        </w:rPr>
        <w:t>Reluctant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40"/>
      <w:r>
        <w:rPr>
          <w:lang w:val="en"/>
        </w:rPr>
        <w:t>Escape Sequences</w:t>
      </w:r>
      <w:bookmarkEnd w:id="399"/>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0" w:name="_Toc314765941"/>
      <w:r>
        <w:rPr>
          <w:lang w:val="en"/>
        </w:rPr>
        <w:t>Character Classes</w:t>
      </w:r>
      <w:bookmarkEnd w:id="400"/>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1" w:name="_Toc314765942"/>
      <w:r>
        <w:rPr>
          <w:lang w:val="en"/>
        </w:rPr>
        <w:t>Zero Width Assertions</w:t>
      </w:r>
      <w:bookmarkEnd w:id="401"/>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2" w:name="_Toc314765943"/>
      <w:r>
        <w:rPr>
          <w:lang w:val="en"/>
        </w:rPr>
        <w:t>Extensions</w:t>
      </w:r>
      <w:bookmarkEnd w:id="402"/>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3" w:name="_Toc314765944"/>
      <w:r>
        <w:rPr>
          <w:lang w:val="en"/>
        </w:rPr>
        <w:t>Version 8 Regular Expressions</w:t>
      </w:r>
      <w:bookmarkEnd w:id="403"/>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4" w:name="_Toc278864774"/>
      <w:bookmarkStart w:id="405" w:name="_Toc314765945"/>
      <w:r>
        <w:t xml:space="preserve">Appendix </w:t>
      </w:r>
      <w:r w:rsidR="002125A8">
        <w:t xml:space="preserve">E </w:t>
      </w:r>
      <w:r>
        <w:t xml:space="preserve">– </w:t>
      </w:r>
      <w:r w:rsidR="00857629" w:rsidRPr="00CD44E5">
        <w:t xml:space="preserve">Normative </w:t>
      </w:r>
      <w:r w:rsidRPr="00CD44E5">
        <w:t>References</w:t>
      </w:r>
      <w:bookmarkEnd w:id="404"/>
      <w:bookmarkEnd w:id="405"/>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3D698A"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3D698A"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3D698A"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3D698A"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3D698A"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3D698A"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3D698A"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3D698A"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3D698A"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3D698A"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3D698A"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3D698A"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3D698A"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3D698A"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3D698A"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3D698A"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3D698A"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3D698A"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3D698A"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6" w:name="_Toc278864777"/>
      <w:bookmarkStart w:id="407"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6"/>
      <w:bookmarkEnd w:id="407"/>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bookmarkStart w:id="408" w:name="_GoBack"/>
      <w:bookmarkEnd w:id="408"/>
      <w:r>
        <w:t xml:space="preserve"> MUST be unique.</w:t>
      </w:r>
      <w:r w:rsidR="005C2D48">
        <w:t xml:space="preserve">  This addresses </w:t>
      </w:r>
      <w:hyperlink r:id="rId114"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even" r:id="rId115"/>
      <w:headerReference w:type="default" r:id="rId116"/>
      <w:footerReference w:type="even" r:id="rId117"/>
      <w:footerReference w:type="default" r:id="rId118"/>
      <w:headerReference w:type="first" r:id="rId119"/>
      <w:footerReference w:type="first" r:id="rId1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3D698A">
          <w:rPr>
            <w:noProof/>
          </w:rPr>
          <w:t>141</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3D698A"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3D698A">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B67" w:rsidRDefault="00831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246048" w:rsidP="000434F9">
    <w:pPr>
      <w:pStyle w:val="Header"/>
      <w:jc w:val="right"/>
    </w:pPr>
    <w:r w:rsidRPr="001B78AF">
      <w:t xml:space="preserve"> The OVAL® Language Specification: Version 5.1</w:t>
    </w:r>
    <w:r w:rsidR="001B78AF">
      <w:t xml:space="preserve">1 Revision 1 </w:t>
    </w:r>
    <w:r w:rsidR="001B78AF">
      <w:br/>
      <w:t>Date: 02</w:t>
    </w:r>
    <w:r w:rsidRPr="001B78AF">
      <w:t>-20-201</w:t>
    </w:r>
    <w:r w:rsidR="001B78AF">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328317"/>
      <w:docPartObj>
        <w:docPartGallery w:val="Watermarks"/>
        <w:docPartUnique/>
      </w:docPartObj>
    </w:sdtPr>
    <w:sdtEndPr/>
    <w:sdtContent>
      <w:p w:rsidR="00831B67" w:rsidRDefault="003D698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drawingGridHorizontalSpacing w:val="110"/>
  <w:displayHorizontalDrawingGridEvery w:val="2"/>
  <w:characterSpacingControl w:val="doNotCompress"/>
  <w:hdrShapeDefaults>
    <o:shapedefaults v:ext="edit" spidmax="14338"/>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165D"/>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footer" Target="foot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32" Type="http://schemas.openxmlformats.org/officeDocument/2006/relationships/image" Target="media/image20.emf"/><Relationship Id="rId37" Type="http://schemas.openxmlformats.org/officeDocument/2006/relationships/image" Target="media/image25.emf"/><Relationship Id="rId53" Type="http://schemas.openxmlformats.org/officeDocument/2006/relationships/image" Target="media/image40.emf"/><Relationship Id="rId58" Type="http://schemas.openxmlformats.org/officeDocument/2006/relationships/image" Target="media/image45.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102" Type="http://schemas.openxmlformats.org/officeDocument/2006/relationships/hyperlink" Target="http://www.gnu.org/software/guile/manual/html_node/String-Comparison.html"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2.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12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eader" Target="header2.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s://github.com/OVALProject/Language/issues/3" TargetMode="External"/><Relationship Id="rId119" Type="http://schemas.openxmlformats.org/officeDocument/2006/relationships/header" Target="header3.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12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footer" Target="footer3.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 Id="rId24" Type="http://schemas.openxmlformats.org/officeDocument/2006/relationships/image" Target="media/image12.emf"/><Relationship Id="rId40" Type="http://schemas.openxmlformats.org/officeDocument/2006/relationships/image" Target="media/image28.emf"/><Relationship Id="rId45" Type="http://schemas.openxmlformats.org/officeDocument/2006/relationships/image" Target="media/image33.emf"/><Relationship Id="rId66" Type="http://schemas.openxmlformats.org/officeDocument/2006/relationships/image" Target="media/image53.emf"/><Relationship Id="rId87" Type="http://schemas.openxmlformats.org/officeDocument/2006/relationships/hyperlink" Target="http://oval.mitre.org/language/version5.10.1/ovaldefinition/complete/macos-definitions-schema.xsd" TargetMode="External"/><Relationship Id="rId110" Type="http://schemas.openxmlformats.org/officeDocument/2006/relationships/hyperlink" Target="http://tools.ietf.org/html/rfc4632" TargetMode="External"/><Relationship Id="rId115"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D0CCA-1057-4399-9C14-141AEDDFC0A2}">
  <ds:schemaRefs>
    <ds:schemaRef ds:uri="http://schemas.openxmlformats.org/officeDocument/2006/bibliography"/>
  </ds:schemaRefs>
</ds:datastoreItem>
</file>

<file path=customXml/itemProps3.xml><?xml version="1.0" encoding="utf-8"?>
<ds:datastoreItem xmlns:ds="http://schemas.openxmlformats.org/officeDocument/2006/customXml" ds:itemID="{24AEFD26-37CC-4CEA-A1E6-3CAFA1BB788C}">
  <ds:schemaRefs>
    <ds:schemaRef ds:uri="http://schemas.openxmlformats.org/officeDocument/2006/bibliography"/>
  </ds:schemaRefs>
</ds:datastoreItem>
</file>

<file path=customXml/itemProps4.xml><?xml version="1.0" encoding="utf-8"?>
<ds:datastoreItem xmlns:ds="http://schemas.openxmlformats.org/officeDocument/2006/customXml" ds:itemID="{BA344A40-6A7E-4E27-95C1-FA3B44CEEDB6}">
  <ds:schemaRefs>
    <ds:schemaRef ds:uri="http://schemas.openxmlformats.org/officeDocument/2006/bibliography"/>
  </ds:schemaRefs>
</ds:datastoreItem>
</file>

<file path=customXml/itemProps5.xml><?xml version="1.0" encoding="utf-8"?>
<ds:datastoreItem xmlns:ds="http://schemas.openxmlformats.org/officeDocument/2006/customXml" ds:itemID="{51DD04E4-F6CA-457E-A937-2A555B0D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143</Pages>
  <Words>42171</Words>
  <Characters>240378</Characters>
  <Application>Microsoft Office Word</Application>
  <DocSecurity>0</DocSecurity>
  <Lines>2003</Lines>
  <Paragraphs>563</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197</cp:revision>
  <cp:lastPrinted>2011-09-15T11:22:00Z</cp:lastPrinted>
  <dcterms:created xsi:type="dcterms:W3CDTF">2011-08-22T02:14:00Z</dcterms:created>
  <dcterms:modified xsi:type="dcterms:W3CDTF">2013-02-20T01:34:00Z</dcterms:modified>
</cp:coreProperties>
</file>