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Georgia" w:cs="Georgia" w:eastAsia="Georgia" w:hAnsi="Georgia"/>
          <w:b/>
          <w:bCs/>
          <w:color w:val="085041"/>
          <w:spacing w:val="20"/>
          <w:sz w:val="26"/>
          <w:szCs w:val="26"/>
        </w:rPr>
        <w:t xml:space="preserve">OVA RESIDENCIAL</w:t>
      </w:r>
      <w:r>
        <w:rPr>
          <w:rFonts w:ascii="Calibri" w:cs="Calibri" w:eastAsia="Calibri" w:hAnsi="Calibri"/>
          <w:color w:val="7A8A81"/>
          <w:sz w:val="22"/>
          <w:szCs w:val="22"/>
        </w:rPr>
        <w:t xml:space="preserve">   ·   Properties</w:t>
      </w:r>
    </w:p>
    <w:p>
      <w:pPr>
        <w:pBdr>
          <w:bottom w:val="single" w:color="059669" w:sz="12"/>
        </w:pBdr>
        <w:spacing w:after="200"/>
      </w:pP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059669"/>
          <w:spacing w:val="30"/>
          <w:sz w:val="18"/>
          <w:szCs w:val="18"/>
        </w:rPr>
        <w:t xml:space="preserve">PLATAFORMA DE ADMINISTRACIÓN</w:t>
      </w:r>
    </w:p>
    <w:p>
      <w:pPr>
        <w:spacing w:after="140"/>
      </w:pPr>
      <w:r>
        <w:rPr>
          <w:rFonts w:ascii="Georgia" w:cs="Georgia" w:eastAsia="Georgia" w:hAnsi="Georgia"/>
          <w:b/>
          <w:bCs/>
          <w:color w:val="10201B"/>
          <w:sz w:val="40"/>
          <w:szCs w:val="40"/>
        </w:rPr>
        <w:t xml:space="preserve">La administración de su residencial, clara, cobrada y al día.</w:t>
      </w:r>
    </w:p>
    <w:p>
      <w:pPr>
        <w:spacing w:after="200" w:line="276"/>
      </w:pPr>
      <w:r>
        <w:rPr>
          <w:rFonts w:ascii="Calibri" w:cs="Calibri" w:eastAsia="Calibri" w:hAnsi="Calibri"/>
          <w:color w:val="4B5B53"/>
          <w:sz w:val="23"/>
          <w:szCs w:val="23"/>
        </w:rPr>
        <w:t xml:space="preserve">OVA Residencial reúne cuotas, cobranza, finanzas y comunicación con los propietarios en un solo lugar. Menos hojas de cálculo, menos dudas sobre quién debe qué, y total transparencia para su comunidad.</w:t>
      </w:r>
    </w:p>
    <w:tbl>
      <w:tblPr>
        <w:tblW w:type="dxa" w:w="10080"/>
        <w:tblBorders>
          <w:top w:val="single" w:color="DBE4DE" w:sz="6"/>
          <w:left w:val="single" w:color="DBE4DE" w:sz="6"/>
          <w:bottom w:val="single" w:color="DBE4DE" w:sz="6"/>
          <w:right w:val="single" w:color="DBE4DE" w:sz="6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EAF5F0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85041"/>
                <w:sz w:val="21"/>
                <w:szCs w:val="21"/>
              </w:rPr>
              <w:t xml:space="preserve">1 sistema </w:t>
            </w:r>
            <w:r>
              <w:rPr>
                <w:rFonts w:ascii="Calibri" w:cs="Calibri" w:eastAsia="Calibri" w:hAnsi="Calibri"/>
                <w:color w:val="4B5B53"/>
                <w:sz w:val="20"/>
                <w:szCs w:val="20"/>
              </w:rPr>
              <w:t xml:space="preserve">en vez de 5 hojas     </w:t>
            </w:r>
            <w:r>
              <w:rPr>
                <w:rFonts w:ascii="Calibri" w:cs="Calibri" w:eastAsia="Calibri" w:hAnsi="Calibri"/>
                <w:b/>
                <w:bCs/>
                <w:color w:val="085041"/>
                <w:sz w:val="21"/>
                <w:szCs w:val="21"/>
              </w:rPr>
              <w:t xml:space="preserve">Multi-complejo </w:t>
            </w:r>
            <w:r>
              <w:rPr>
                <w:rFonts w:ascii="Calibri" w:cs="Calibri" w:eastAsia="Calibri" w:hAnsi="Calibri"/>
                <w:color w:val="4B5B53"/>
                <w:sz w:val="20"/>
                <w:szCs w:val="20"/>
              </w:rPr>
              <w:t xml:space="preserve">administre varios a la vez     </w:t>
            </w:r>
            <w:r>
              <w:rPr>
                <w:rFonts w:ascii="Calibri" w:cs="Calibri" w:eastAsia="Calibri" w:hAnsi="Calibri"/>
                <w:b/>
                <w:bCs/>
                <w:color w:val="085041"/>
                <w:sz w:val="21"/>
                <w:szCs w:val="21"/>
              </w:rPr>
              <w:t xml:space="preserve">Portal propio </w:t>
            </w:r>
            <w:r>
              <w:rPr>
                <w:rFonts w:ascii="Calibri" w:cs="Calibri" w:eastAsia="Calibri" w:hAnsi="Calibri"/>
                <w:color w:val="4B5B53"/>
                <w:sz w:val="20"/>
                <w:szCs w:val="20"/>
              </w:rPr>
              <w:t xml:space="preserve">para cada propietario     </w:t>
            </w:r>
            <w:r>
              <w:rPr>
                <w:rFonts w:ascii="Calibri" w:cs="Calibri" w:eastAsia="Calibri" w:hAnsi="Calibri"/>
                <w:b/>
                <w:bCs/>
                <w:color w:val="085041"/>
                <w:sz w:val="21"/>
                <w:szCs w:val="21"/>
              </w:rPr>
              <w:t xml:space="preserve">En la nube </w:t>
            </w:r>
            <w:r>
              <w:rPr>
                <w:rFonts w:ascii="Calibri" w:cs="Calibri" w:eastAsia="Calibri" w:hAnsi="Calibri"/>
                <w:color w:val="4B5B53"/>
                <w:sz w:val="20"/>
                <w:szCs w:val="20"/>
              </w:rPr>
              <w:t xml:space="preserve">acceso desde cualquier lugar</w:t>
            </w:r>
          </w:p>
        </w:tc>
      </w:tr>
    </w:tbl>
    <w:p>
      <w:pPr>
        <w:spacing w:after="240"/>
      </w:pPr>
    </w:p>
    <w:tbl>
      <w:tblPr>
        <w:tblW w:type="dxa" w:w="10080"/>
        <w:tblBorders>
          <w:top w:val="single" w:color="0C1B30" w:sz="6"/>
          <w:left w:val="single" w:color="0C1B30" w:sz="6"/>
          <w:bottom w:val="single" w:color="0C1B30" w:sz="6"/>
          <w:right w:val="single" w:color="0C1B30" w:sz="6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0C1B30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6EE7B7"/>
                <w:spacing w:val="30"/>
                <w:sz w:val="17"/>
                <w:szCs w:val="17"/>
              </w:rPr>
              <w:t xml:space="preserve">EL PROBLEMA DE SIEMPRE</w:t>
            </w:r>
          </w:p>
          <w:p>
            <w:pPr>
              <w:spacing w:after="1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Administrar un residencial en Excel se vuelve un dolor de cabeza.</w:t>
            </w:r>
          </w:p>
          <w:p>
            <w:pPr>
              <w:spacing w:after="50"/>
              <w:ind w:left="300" w:hanging="240"/>
            </w:pPr>
            <w:r>
              <w:rPr>
                <w:rFonts w:ascii="Calibri" w:cs="Calibri" w:eastAsia="Calibri" w:hAnsi="Calibri"/>
                <w:b/>
                <w:bCs/>
                <w:color w:val="6EE7B7"/>
                <w:sz w:val="21"/>
                <w:szCs w:val="21"/>
              </w:rPr>
              <w:t xml:space="preserve">→  </w:t>
            </w:r>
            <w:r>
              <w:rPr>
                <w:rFonts w:ascii="Calibri" w:cs="Calibri" w:eastAsia="Calibri" w:hAnsi="Calibri"/>
                <w:color w:val="C7DBD3"/>
                <w:sz w:val="21"/>
                <w:szCs w:val="21"/>
              </w:rPr>
              <w:t xml:space="preserve">Nadie sabe con certeza cuánto debe cada unidad.</w:t>
            </w:r>
          </w:p>
          <w:p>
            <w:pPr>
              <w:spacing w:after="50"/>
              <w:ind w:left="300" w:hanging="240"/>
            </w:pPr>
            <w:r>
              <w:rPr>
                <w:rFonts w:ascii="Calibri" w:cs="Calibri" w:eastAsia="Calibri" w:hAnsi="Calibri"/>
                <w:b/>
                <w:bCs/>
                <w:color w:val="6EE7B7"/>
                <w:sz w:val="21"/>
                <w:szCs w:val="21"/>
              </w:rPr>
              <w:t xml:space="preserve">→  </w:t>
            </w:r>
            <w:r>
              <w:rPr>
                <w:rFonts w:ascii="Calibri" w:cs="Calibri" w:eastAsia="Calibri" w:hAnsi="Calibri"/>
                <w:color w:val="C7DBD3"/>
                <w:sz w:val="21"/>
                <w:szCs w:val="21"/>
              </w:rPr>
              <w:t xml:space="preserve">Los pagos se registran a mano y se pierden recibos.</w:t>
            </w:r>
          </w:p>
          <w:p>
            <w:pPr>
              <w:spacing w:after="50"/>
              <w:ind w:left="300" w:hanging="240"/>
            </w:pPr>
            <w:r>
              <w:rPr>
                <w:rFonts w:ascii="Calibri" w:cs="Calibri" w:eastAsia="Calibri" w:hAnsi="Calibri"/>
                <w:b/>
                <w:bCs/>
                <w:color w:val="6EE7B7"/>
                <w:sz w:val="21"/>
                <w:szCs w:val="21"/>
              </w:rPr>
              <w:t xml:space="preserve">→  </w:t>
            </w:r>
            <w:r>
              <w:rPr>
                <w:rFonts w:ascii="Calibri" w:cs="Calibri" w:eastAsia="Calibri" w:hAnsi="Calibri"/>
                <w:color w:val="C7DBD3"/>
                <w:sz w:val="21"/>
                <w:szCs w:val="21"/>
              </w:rPr>
              <w:t xml:space="preserve">La cobranza depende de la memoria de una sola persona.</w:t>
            </w:r>
          </w:p>
          <w:p>
            <w:pPr>
              <w:spacing w:after="50"/>
              <w:ind w:left="300" w:hanging="240"/>
            </w:pPr>
            <w:r>
              <w:rPr>
                <w:rFonts w:ascii="Calibri" w:cs="Calibri" w:eastAsia="Calibri" w:hAnsi="Calibri"/>
                <w:b/>
                <w:bCs/>
                <w:color w:val="6EE7B7"/>
                <w:sz w:val="21"/>
                <w:szCs w:val="21"/>
              </w:rPr>
              <w:t xml:space="preserve">→  </w:t>
            </w:r>
            <w:r>
              <w:rPr>
                <w:rFonts w:ascii="Calibri" w:cs="Calibri" w:eastAsia="Calibri" w:hAnsi="Calibri"/>
                <w:color w:val="C7DBD3"/>
                <w:sz w:val="21"/>
                <w:szCs w:val="21"/>
              </w:rPr>
              <w:t xml:space="preserve">Los propietarios desconfían porque no ven las cuentas.</w:t>
            </w:r>
          </w:p>
          <w:p>
            <w:pPr>
              <w:spacing w:after="50"/>
              <w:ind w:left="300" w:hanging="240"/>
            </w:pPr>
            <w:r>
              <w:rPr>
                <w:rFonts w:ascii="Calibri" w:cs="Calibri" w:eastAsia="Calibri" w:hAnsi="Calibri"/>
                <w:b/>
                <w:bCs/>
                <w:color w:val="6EE7B7"/>
                <w:sz w:val="21"/>
                <w:szCs w:val="21"/>
              </w:rPr>
              <w:t xml:space="preserve">→  </w:t>
            </w:r>
            <w:r>
              <w:rPr>
                <w:rFonts w:ascii="Calibri" w:cs="Calibri" w:eastAsia="Calibri" w:hAnsi="Calibri"/>
                <w:color w:val="C7DBD3"/>
                <w:sz w:val="21"/>
                <w:szCs w:val="21"/>
              </w:rPr>
              <w:t xml:space="preserve">Cerrar el mes es un rompecabezas cada vez.</w:t>
            </w:r>
          </w:p>
          <w:p>
            <w:pPr>
              <w:spacing w:after="50"/>
              <w:ind w:left="300" w:hanging="240"/>
            </w:pPr>
            <w:r>
              <w:rPr>
                <w:rFonts w:ascii="Calibri" w:cs="Calibri" w:eastAsia="Calibri" w:hAnsi="Calibri"/>
                <w:b/>
                <w:bCs/>
                <w:color w:val="6EE7B7"/>
                <w:sz w:val="21"/>
                <w:szCs w:val="21"/>
              </w:rPr>
              <w:t xml:space="preserve">→  </w:t>
            </w:r>
            <w:r>
              <w:rPr>
                <w:rFonts w:ascii="Calibri" w:cs="Calibri" w:eastAsia="Calibri" w:hAnsi="Calibri"/>
                <w:color w:val="C7DBD3"/>
                <w:sz w:val="21"/>
                <w:szCs w:val="21"/>
              </w:rPr>
              <w:t xml:space="preserve">Cambiar de administrador significa empezar de cero.</w:t>
            </w:r>
          </w:p>
        </w:tc>
      </w:tr>
    </w:tbl>
    <w:p>
      <w:pPr>
        <w:spacing w:after="260"/>
      </w:pP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059669"/>
          <w:spacing w:val="30"/>
          <w:sz w:val="18"/>
          <w:szCs w:val="18"/>
        </w:rPr>
        <w:t xml:space="preserve">LO QUE HACE POR USTED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10201B"/>
          <w:sz w:val="30"/>
          <w:szCs w:val="30"/>
        </w:rPr>
        <w:t xml:space="preserve">Todo lo que necesita para administrar, en un flujo ordenado.</w:t>
      </w:r>
    </w:p>
    <w:p>
      <w:pPr>
        <w:spacing w:after="200" w:line="276"/>
      </w:pPr>
      <w:r>
        <w:rPr>
          <w:rFonts w:ascii="Calibri" w:cs="Calibri" w:eastAsia="Calibri" w:hAnsi="Calibri"/>
          <w:color w:val="4B5B53"/>
          <w:sz w:val="21"/>
          <w:szCs w:val="21"/>
        </w:rPr>
        <w:t xml:space="preserve">Cada módulo conversa con los demás: un pago actualiza el saldo, el saldo alimenta la cobranza, y la cobranza se refleja en el portal del propietario. Sin duplicar trabajo.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FFFFFF" w:sz="4"/>
          <w:insideV w:val="single" w:color="FFFFFF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BE4DE" w:sz="4"/>
              <w:left w:val="single" w:color="DBE4DE" w:sz="4"/>
              <w:bottom w:val="single" w:color="DBE4DE" w:sz="4"/>
              <w:right w:val="single" w:color="DBE4DE" w:sz="4"/>
            </w:tcBorders>
            <w:shd w:fill="FFFFFF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59669"/>
                <w:spacing w:val="20"/>
                <w:sz w:val="15"/>
                <w:szCs w:val="15"/>
              </w:rPr>
              <w:t xml:space="preserve">CUOTAS Y PAGOS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0201B"/>
                <w:sz w:val="21"/>
                <w:szCs w:val="21"/>
              </w:rPr>
              <w:t xml:space="preserve">Cobre sin perder un centavo</w:t>
            </w:r>
          </w:p>
          <w:p>
            <w:r>
              <w:rPr>
                <w:rFonts w:ascii="Calibri" w:cs="Calibri" w:eastAsia="Calibri" w:hAnsi="Calibri"/>
                <w:color w:val="4B5B53"/>
                <w:sz w:val="18"/>
                <w:szCs w:val="18"/>
              </w:rPr>
              <w:t xml:space="preserve">Cuotas por tipo de propiedad, registro de pagos en segundos y recibo profesional que se envía por correo o WhatsApp con el saldo al día.</w:t>
            </w:r>
          </w:p>
        </w:tc>
        <w:tc>
          <w:tcPr>
            <w:tcW w:type="dxa" w:w="5040"/>
            <w:tcBorders>
              <w:top w:val="single" w:color="DBE4DE" w:sz="4"/>
              <w:left w:val="single" w:color="DBE4DE" w:sz="4"/>
              <w:bottom w:val="single" w:color="DBE4DE" w:sz="4"/>
              <w:right w:val="single" w:color="DBE4DE" w:sz="4"/>
            </w:tcBorders>
            <w:shd w:fill="FFFFFF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59669"/>
                <w:spacing w:val="20"/>
                <w:sz w:val="15"/>
                <w:szCs w:val="15"/>
              </w:rPr>
              <w:t xml:space="preserve">COBRANZA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0201B"/>
                <w:sz w:val="21"/>
                <w:szCs w:val="21"/>
              </w:rPr>
              <w:t xml:space="preserve">Nunca pierda el hilo de la mora</w:t>
            </w:r>
          </w:p>
          <w:p>
            <w:r>
              <w:rPr>
                <w:rFonts w:ascii="Calibri" w:cs="Calibri" w:eastAsia="Calibri" w:hAnsi="Calibri"/>
                <w:color w:val="4B5B53"/>
                <w:sz w:val="18"/>
                <w:szCs w:val="18"/>
              </w:rPr>
              <w:t xml:space="preserve">Vea quién debe, registre promesas de pago y lleve una bitácora de cada gestión. La cobranza deja de vivir en la cabeza de una persona.</w:t>
            </w:r>
          </w:p>
        </w:tc>
      </w:tr>
      <w:tr>
        <w:tc>
          <w:tcPr>
            <w:tcW w:type="dxa" w:w="5040"/>
            <w:tcBorders>
              <w:top w:val="single" w:color="DBE4DE" w:sz="4"/>
              <w:left w:val="single" w:color="DBE4DE" w:sz="4"/>
              <w:bottom w:val="single" w:color="DBE4DE" w:sz="4"/>
              <w:right w:val="single" w:color="DBE4DE" w:sz="4"/>
            </w:tcBorders>
            <w:shd w:fill="FFFFFF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59669"/>
                <w:spacing w:val="20"/>
                <w:sz w:val="15"/>
                <w:szCs w:val="15"/>
              </w:rPr>
              <w:t xml:space="preserve">FINANZAS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0201B"/>
                <w:sz w:val="21"/>
                <w:szCs w:val="21"/>
              </w:rPr>
              <w:t xml:space="preserve">Cuentas cuadradas cada mes</w:t>
            </w:r>
          </w:p>
          <w:p>
            <w:r>
              <w:rPr>
                <w:rFonts w:ascii="Calibri" w:cs="Calibri" w:eastAsia="Calibri" w:hAnsi="Calibri"/>
                <w:color w:val="4B5B53"/>
                <w:sz w:val="18"/>
                <w:szCs w:val="18"/>
              </w:rPr>
              <w:t xml:space="preserve">Ingresos, gastos, libro de caja y cierre de mes con comprobante. Una vez cerrado, nadie altera el pasado: sus números quedan protegidos.</w:t>
            </w:r>
          </w:p>
        </w:tc>
        <w:tc>
          <w:tcPr>
            <w:tcW w:type="dxa" w:w="5040"/>
            <w:tcBorders>
              <w:top w:val="single" w:color="DBE4DE" w:sz="4"/>
              <w:left w:val="single" w:color="DBE4DE" w:sz="4"/>
              <w:bottom w:val="single" w:color="DBE4DE" w:sz="4"/>
              <w:right w:val="single" w:color="DBE4DE" w:sz="4"/>
            </w:tcBorders>
            <w:shd w:fill="FFFFFF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59669"/>
                <w:spacing w:val="20"/>
                <w:sz w:val="15"/>
                <w:szCs w:val="15"/>
              </w:rPr>
              <w:t xml:space="preserve">PORTAL DEL PROPIETARIO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0201B"/>
                <w:sz w:val="21"/>
                <w:szCs w:val="21"/>
              </w:rPr>
              <w:t xml:space="preserve">Vecinos informados, menos reclamos</w:t>
            </w:r>
          </w:p>
          <w:p>
            <w:r>
              <w:rPr>
                <w:rFonts w:ascii="Calibri" w:cs="Calibri" w:eastAsia="Calibri" w:hAnsi="Calibri"/>
                <w:color w:val="4B5B53"/>
                <w:sz w:val="18"/>
                <w:szCs w:val="18"/>
              </w:rPr>
              <w:t xml:space="preserve">Cada propietario entra y ve su estado de cuenta, sus avisos y la transparencia financiera del complejo. La confianza sube sola.</w:t>
            </w:r>
          </w:p>
        </w:tc>
      </w:tr>
      <w:tr>
        <w:tc>
          <w:tcPr>
            <w:tcW w:type="dxa" w:w="5040"/>
            <w:tcBorders>
              <w:top w:val="single" w:color="DBE4DE" w:sz="4"/>
              <w:left w:val="single" w:color="DBE4DE" w:sz="4"/>
              <w:bottom w:val="single" w:color="DBE4DE" w:sz="4"/>
              <w:right w:val="single" w:color="DBE4DE" w:sz="4"/>
            </w:tcBorders>
            <w:shd w:fill="FFFFFF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59669"/>
                <w:spacing w:val="20"/>
                <w:sz w:val="15"/>
                <w:szCs w:val="15"/>
              </w:rPr>
              <w:t xml:space="preserve">COMUNICACIÓN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0201B"/>
                <w:sz w:val="21"/>
                <w:szCs w:val="21"/>
              </w:rPr>
              <w:t xml:space="preserve">Avise a la comunidad en un clic</w:t>
            </w:r>
          </w:p>
          <w:p>
            <w:r>
              <w:rPr>
                <w:rFonts w:ascii="Calibri" w:cs="Calibri" w:eastAsia="Calibri" w:hAnsi="Calibri"/>
                <w:color w:val="4B5B53"/>
                <w:sz w:val="18"/>
                <w:szCs w:val="18"/>
              </w:rPr>
              <w:t xml:space="preserve">Envíe comunicados por correo o WhatsApp a todos, a los morosos, o a una calle específica. Y reciba mensajes de los vecinos en un buzón.</w:t>
            </w:r>
          </w:p>
        </w:tc>
        <w:tc>
          <w:tcPr>
            <w:tcW w:type="dxa" w:w="5040"/>
            <w:tcBorders>
              <w:top w:val="single" w:color="DBE4DE" w:sz="4"/>
              <w:left w:val="single" w:color="DBE4DE" w:sz="4"/>
              <w:bottom w:val="single" w:color="DBE4DE" w:sz="4"/>
              <w:right w:val="single" w:color="DBE4DE" w:sz="4"/>
            </w:tcBorders>
            <w:shd w:fill="FFFFFF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59669"/>
                <w:spacing w:val="20"/>
                <w:sz w:val="15"/>
                <w:szCs w:val="15"/>
              </w:rPr>
              <w:t xml:space="preserve">CONTROL Y ROLES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0201B"/>
                <w:sz w:val="21"/>
                <w:szCs w:val="21"/>
              </w:rPr>
              <w:t xml:space="preserve">Cada quien ve lo que le toca</w:t>
            </w:r>
          </w:p>
          <w:p>
            <w:r>
              <w:rPr>
                <w:rFonts w:ascii="Calibri" w:cs="Calibri" w:eastAsia="Calibri" w:hAnsi="Calibri"/>
                <w:color w:val="4B5B53"/>
                <w:sz w:val="18"/>
                <w:szCs w:val="18"/>
              </w:rPr>
              <w:t xml:space="preserve">Administrador, directiva, lectura y propietario: permisos claros por rol. Y el mapa del complejo muestra cada unidad y a su dueño.</w:t>
            </w:r>
          </w:p>
        </w:tc>
      </w:tr>
    </w:tbl>
    <w:p>
      <w:r>
        <w:br w:type="page"/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059669"/>
          <w:spacing w:val="30"/>
          <w:sz w:val="18"/>
          <w:szCs w:val="18"/>
        </w:rPr>
        <w:t xml:space="preserve">DOS CARAS, UN SISTEMA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10201B"/>
          <w:sz w:val="30"/>
          <w:szCs w:val="30"/>
        </w:rPr>
        <w:t xml:space="preserve">Le sirve a quien administra y tranquiliza a quien vive.</w:t>
      </w:r>
    </w:p>
    <w:p>
      <w:pPr>
        <w:spacing w:after="80"/>
      </w:pPr>
    </w:p>
    <w:tbl>
      <w:tblPr>
        <w:tblW w:type="dxa" w:w="10080"/>
        <w:tblBorders>
          <w:top w:val="single" w:color="DBE4DE" w:sz="6"/>
          <w:left w:val="single" w:color="DBE4DE" w:sz="6"/>
          <w:bottom w:val="single" w:color="DBE4DE" w:sz="6"/>
          <w:right w:val="single" w:color="DBE4DE" w:sz="6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FFFFF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A8A81"/>
                <w:spacing w:val="24"/>
                <w:sz w:val="16"/>
                <w:szCs w:val="16"/>
              </w:rPr>
              <w:t xml:space="preserve">PARA LA ADMINISTRACIÓN</w:t>
            </w:r>
          </w:p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color w:val="10201B"/>
                <w:sz w:val="24"/>
                <w:szCs w:val="24"/>
              </w:rPr>
              <w:t xml:space="preserve">Todo bajo control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0201B"/>
                <w:sz w:val="21"/>
                <w:szCs w:val="21"/>
              </w:rPr>
              <w:t xml:space="preserve">Panel general </w:t>
            </w:r>
            <w:r>
              <w:rPr>
                <w:rFonts w:ascii="Calibri" w:cs="Calibri" w:eastAsia="Calibri" w:hAnsi="Calibri"/>
                <w:color w:val="4B5B53"/>
                <w:sz w:val="21"/>
                <w:szCs w:val="21"/>
              </w:rPr>
              <w:t xml:space="preserve">con lo facturado, lo cobrado y lo que falta.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0201B"/>
                <w:sz w:val="21"/>
                <w:szCs w:val="21"/>
              </w:rPr>
              <w:t xml:space="preserve">Registro de pagos </w:t>
            </w:r>
            <w:r>
              <w:rPr>
                <w:rFonts w:ascii="Calibri" w:cs="Calibri" w:eastAsia="Calibri" w:hAnsi="Calibri"/>
                <w:color w:val="4B5B53"/>
                <w:sz w:val="21"/>
                <w:szCs w:val="21"/>
              </w:rPr>
              <w:t xml:space="preserve">con edición, anulación y reactivación seguras.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0201B"/>
                <w:sz w:val="21"/>
                <w:szCs w:val="21"/>
              </w:rPr>
              <w:t xml:space="preserve">Gastos y libro de caja </w:t>
            </w:r>
            <w:r>
              <w:rPr>
                <w:rFonts w:ascii="Calibri" w:cs="Calibri" w:eastAsia="Calibri" w:hAnsi="Calibri"/>
                <w:color w:val="4B5B53"/>
                <w:sz w:val="21"/>
                <w:szCs w:val="21"/>
              </w:rPr>
              <w:t xml:space="preserve">del complejo, con reportes.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0201B"/>
                <w:sz w:val="21"/>
                <w:szCs w:val="21"/>
              </w:rPr>
              <w:t xml:space="preserve">Cierre de período </w:t>
            </w:r>
            <w:r>
              <w:rPr>
                <w:rFonts w:ascii="Calibri" w:cs="Calibri" w:eastAsia="Calibri" w:hAnsi="Calibri"/>
                <w:color w:val="4B5B53"/>
                <w:sz w:val="21"/>
                <w:szCs w:val="21"/>
              </w:rPr>
              <w:t xml:space="preserve">mes a mes, con reglas que evitan errores.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0201B"/>
                <w:sz w:val="21"/>
                <w:szCs w:val="21"/>
              </w:rPr>
              <w:t xml:space="preserve">Conciliación bancaria </w:t>
            </w:r>
            <w:r>
              <w:rPr>
                <w:rFonts w:ascii="Calibri" w:cs="Calibri" w:eastAsia="Calibri" w:hAnsi="Calibri"/>
                <w:color w:val="4B5B53"/>
                <w:sz w:val="21"/>
                <w:szCs w:val="21"/>
              </w:rPr>
              <w:t xml:space="preserve">y manejo de pagos sin identificar.</w:t>
            </w:r>
          </w:p>
        </w:tc>
      </w:tr>
    </w:tbl>
    <w:p>
      <w:pPr>
        <w:spacing w:after="140"/>
      </w:pPr>
    </w:p>
    <w:tbl>
      <w:tblPr>
        <w:tblW w:type="dxa" w:w="10080"/>
        <w:tblBorders>
          <w:top w:val="single" w:color="DBE4DE" w:sz="6"/>
          <w:left w:val="single" w:color="DBE4DE" w:sz="6"/>
          <w:bottom w:val="single" w:color="DBE4DE" w:sz="6"/>
          <w:right w:val="single" w:color="DBE4DE" w:sz="6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FFFFF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7A8A81"/>
                <w:spacing w:val="24"/>
                <w:sz w:val="16"/>
                <w:szCs w:val="16"/>
              </w:rPr>
              <w:t xml:space="preserve">PARA EL PROPIETARIO</w:t>
            </w:r>
          </w:p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color w:val="10201B"/>
                <w:sz w:val="24"/>
                <w:szCs w:val="24"/>
              </w:rPr>
              <w:t xml:space="preserve">Claridad total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0201B"/>
                <w:sz w:val="21"/>
                <w:szCs w:val="21"/>
              </w:rPr>
              <w:t xml:space="preserve">Su saldo </w:t>
            </w:r>
            <w:r>
              <w:rPr>
                <w:rFonts w:ascii="Calibri" w:cs="Calibri" w:eastAsia="Calibri" w:hAnsi="Calibri"/>
                <w:color w:val="4B5B53"/>
                <w:sz w:val="21"/>
                <w:szCs w:val="21"/>
              </w:rPr>
              <w:t xml:space="preserve">siempre visible, con avisos si tiene una promesa de pago.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0201B"/>
                <w:sz w:val="21"/>
                <w:szCs w:val="21"/>
              </w:rPr>
              <w:t xml:space="preserve">Estado de cuenta </w:t>
            </w:r>
            <w:r>
              <w:rPr>
                <w:rFonts w:ascii="Calibri" w:cs="Calibri" w:eastAsia="Calibri" w:hAnsi="Calibri"/>
                <w:color w:val="4B5B53"/>
                <w:sz w:val="21"/>
                <w:szCs w:val="21"/>
              </w:rPr>
              <w:t xml:space="preserve">con todos sus cargos y pagos.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0201B"/>
                <w:sz w:val="21"/>
                <w:szCs w:val="21"/>
              </w:rPr>
              <w:t xml:space="preserve">Transparencia: </w:t>
            </w:r>
            <w:r>
              <w:rPr>
                <w:rFonts w:ascii="Calibri" w:cs="Calibri" w:eastAsia="Calibri" w:hAnsi="Calibri"/>
                <w:color w:val="4B5B53"/>
                <w:sz w:val="21"/>
                <w:szCs w:val="21"/>
              </w:rPr>
              <w:t xml:space="preserve">qué se recaudó, qué se gastó y cuánto hay en caja.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0201B"/>
                <w:sz w:val="21"/>
                <w:szCs w:val="21"/>
              </w:rPr>
              <w:t xml:space="preserve">Mapa del complejo </w:t>
            </w:r>
            <w:r>
              <w:rPr>
                <w:rFonts w:ascii="Calibri" w:cs="Calibri" w:eastAsia="Calibri" w:hAnsi="Calibri"/>
                <w:color w:val="4B5B53"/>
                <w:sz w:val="21"/>
                <w:szCs w:val="21"/>
              </w:rPr>
              <w:t xml:space="preserve">para ubicar su unidad.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0201B"/>
                <w:sz w:val="21"/>
                <w:szCs w:val="21"/>
              </w:rPr>
              <w:t xml:space="preserve">Mensajes y avisos </w:t>
            </w:r>
            <w:r>
              <w:rPr>
                <w:rFonts w:ascii="Calibri" w:cs="Calibri" w:eastAsia="Calibri" w:hAnsi="Calibri"/>
                <w:color w:val="4B5B53"/>
                <w:sz w:val="21"/>
                <w:szCs w:val="21"/>
              </w:rPr>
              <w:t xml:space="preserve">directos de la administración.</w:t>
            </w:r>
          </w:p>
        </w:tc>
      </w:tr>
    </w:tbl>
    <w:p>
      <w:pPr>
        <w:spacing w:after="260"/>
      </w:pP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059669"/>
          <w:spacing w:val="30"/>
          <w:sz w:val="18"/>
          <w:szCs w:val="18"/>
        </w:rPr>
        <w:t xml:space="preserve">CÓMO FUNCIONA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10201B"/>
          <w:sz w:val="30"/>
          <w:szCs w:val="30"/>
        </w:rPr>
        <w:t xml:space="preserve">Del pago al recibo, sin pasos manuales.</w:t>
      </w:r>
    </w:p>
    <w:p>
      <w:pPr>
        <w:spacing w:after="80"/>
      </w:pPr>
    </w:p>
    <w:p>
      <w:pPr>
        <w:spacing w:after="100"/>
        <w:ind w:left="200"/>
      </w:pPr>
      <w:r>
        <w:rPr>
          <w:rFonts w:ascii="Georgia" w:cs="Georgia" w:eastAsia="Georgia" w:hAnsi="Georgia"/>
          <w:b/>
          <w:bCs/>
          <w:color w:val="059669"/>
          <w:sz w:val="20"/>
          <w:szCs w:val="20"/>
        </w:rPr>
        <w:t xml:space="preserve">Paso 1   </w:t>
      </w:r>
      <w:r>
        <w:rPr>
          <w:rFonts w:ascii="Calibri" w:cs="Calibri" w:eastAsia="Calibri" w:hAnsi="Calibri"/>
          <w:b/>
          <w:bCs/>
          <w:color w:val="10201B"/>
          <w:sz w:val="21"/>
          <w:szCs w:val="21"/>
        </w:rPr>
        <w:t xml:space="preserve">Se registra el pago — </w:t>
      </w:r>
      <w:r>
        <w:rPr>
          <w:rFonts w:ascii="Calibri" w:cs="Calibri" w:eastAsia="Calibri" w:hAnsi="Calibri"/>
          <w:color w:val="4B5B53"/>
          <w:sz w:val="21"/>
          <w:szCs w:val="21"/>
        </w:rPr>
        <w:t xml:space="preserve">La administración ingresa el pago de una unidad en segundos.</w:t>
      </w:r>
    </w:p>
    <w:p>
      <w:pPr>
        <w:spacing w:after="100"/>
        <w:ind w:left="200"/>
      </w:pPr>
      <w:r>
        <w:rPr>
          <w:rFonts w:ascii="Georgia" w:cs="Georgia" w:eastAsia="Georgia" w:hAnsi="Georgia"/>
          <w:b/>
          <w:bCs/>
          <w:color w:val="059669"/>
          <w:sz w:val="20"/>
          <w:szCs w:val="20"/>
        </w:rPr>
        <w:t xml:space="preserve">Paso 2   </w:t>
      </w:r>
      <w:r>
        <w:rPr>
          <w:rFonts w:ascii="Calibri" w:cs="Calibri" w:eastAsia="Calibri" w:hAnsi="Calibri"/>
          <w:b/>
          <w:bCs/>
          <w:color w:val="10201B"/>
          <w:sz w:val="21"/>
          <w:szCs w:val="21"/>
        </w:rPr>
        <w:t xml:space="preserve">El saldo se actualiza — </w:t>
      </w:r>
      <w:r>
        <w:rPr>
          <w:rFonts w:ascii="Calibri" w:cs="Calibri" w:eastAsia="Calibri" w:hAnsi="Calibri"/>
          <w:color w:val="4B5B53"/>
          <w:sz w:val="21"/>
          <w:szCs w:val="21"/>
        </w:rPr>
        <w:t xml:space="preserve">El sistema recalcula solo cuánto debe o le sobra a esa unidad.</w:t>
      </w:r>
    </w:p>
    <w:p>
      <w:pPr>
        <w:spacing w:after="100"/>
        <w:ind w:left="200"/>
      </w:pPr>
      <w:r>
        <w:rPr>
          <w:rFonts w:ascii="Georgia" w:cs="Georgia" w:eastAsia="Georgia" w:hAnsi="Georgia"/>
          <w:b/>
          <w:bCs/>
          <w:color w:val="059669"/>
          <w:sz w:val="20"/>
          <w:szCs w:val="20"/>
        </w:rPr>
        <w:t xml:space="preserve">Paso 3   </w:t>
      </w:r>
      <w:r>
        <w:rPr>
          <w:rFonts w:ascii="Calibri" w:cs="Calibri" w:eastAsia="Calibri" w:hAnsi="Calibri"/>
          <w:b/>
          <w:bCs/>
          <w:color w:val="10201B"/>
          <w:sz w:val="21"/>
          <w:szCs w:val="21"/>
        </w:rPr>
        <w:t xml:space="preserve">Se emite el recibo — </w:t>
      </w:r>
      <w:r>
        <w:rPr>
          <w:rFonts w:ascii="Calibri" w:cs="Calibri" w:eastAsia="Calibri" w:hAnsi="Calibri"/>
          <w:color w:val="4B5B53"/>
          <w:sz w:val="21"/>
          <w:szCs w:val="21"/>
        </w:rPr>
        <w:t xml:space="preserve">Recibo profesional con número único, listo para email o WhatsApp.</w:t>
      </w:r>
    </w:p>
    <w:p>
      <w:pPr>
        <w:spacing w:after="100"/>
        <w:ind w:left="200"/>
      </w:pPr>
      <w:r>
        <w:rPr>
          <w:rFonts w:ascii="Georgia" w:cs="Georgia" w:eastAsia="Georgia" w:hAnsi="Georgia"/>
          <w:b/>
          <w:bCs/>
          <w:color w:val="059669"/>
          <w:sz w:val="20"/>
          <w:szCs w:val="20"/>
        </w:rPr>
        <w:t xml:space="preserve">Paso 4   </w:t>
      </w:r>
      <w:r>
        <w:rPr>
          <w:rFonts w:ascii="Calibri" w:cs="Calibri" w:eastAsia="Calibri" w:hAnsi="Calibri"/>
          <w:b/>
          <w:bCs/>
          <w:color w:val="10201B"/>
          <w:sz w:val="21"/>
          <w:szCs w:val="21"/>
        </w:rPr>
        <w:t xml:space="preserve">El vecino lo ve — </w:t>
      </w:r>
      <w:r>
        <w:rPr>
          <w:rFonts w:ascii="Calibri" w:cs="Calibri" w:eastAsia="Calibri" w:hAnsi="Calibri"/>
          <w:color w:val="4B5B53"/>
          <w:sz w:val="21"/>
          <w:szCs w:val="21"/>
        </w:rPr>
        <w:t xml:space="preserve">El propietario consulta su saldo y su recibo desde su portal.</w:t>
      </w:r>
    </w:p>
    <w:p>
      <w:pPr>
        <w:spacing w:after="240"/>
      </w:pPr>
    </w:p>
    <w:tbl>
      <w:tblPr>
        <w:tblW w:type="dxa" w:w="10080"/>
        <w:tblBorders>
          <w:top w:val="single" w:color="059669" w:sz="6"/>
          <w:left w:val="single" w:color="059669" w:sz="6"/>
          <w:bottom w:val="single" w:color="059669" w:sz="6"/>
          <w:right w:val="single" w:color="059669" w:sz="6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EAF5F0" w:color="auto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0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85041"/>
                <w:sz w:val="30"/>
                <w:szCs w:val="30"/>
              </w:rPr>
              <w:t xml:space="preserve">Deje el Excel. Profesionalice su residencial.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color w:val="4B5B53"/>
                <w:sz w:val="21"/>
                <w:szCs w:val="21"/>
              </w:rPr>
              <w:t xml:space="preserve">Le mostramos OVA Residencial funcionando con un caso real en menos de 30 minutos, y lo dejamos listo con los datos de su complejo.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C1B30"/>
                <w:sz w:val="21"/>
                <w:szCs w:val="21"/>
              </w:rPr>
              <w:t xml:space="preserve">Agende su demostración  ·  [ correo / teléfono / WhatsApp ]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color w:val="7A8A81"/>
          <w:sz w:val="16"/>
          <w:szCs w:val="16"/>
        </w:rPr>
        <w:t xml:space="preserve">OVA Residencial · Properties — Plataforma de administración de condominios y residenciales.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05966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2026-07-30T16:00:49.917Z</dcterms:created>
  <dcterms:modified xsi:type="dcterms:W3CDTF">2026-07-30T16:00:49.918Z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