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6E4F"/>
          <w:spacing w:val="30"/>
          <w:sz w:val="18"/>
          <w:szCs w:val="18"/>
        </w:rPr>
        <w:t xml:space="preserve">OVA RESIDENCIAL</w:t>
      </w:r>
    </w:p>
    <w:p>
      <w:pPr>
        <w:pStyle w:val="Title"/>
        <w:spacing w:after="80"/>
      </w:pPr>
      <w:r>
        <w:rPr>
          <w:b/>
          <w:bCs/>
          <w:color w:val="0C1B30"/>
          <w:sz w:val="46"/>
          <w:szCs w:val="46"/>
        </w:rPr>
        <w:t xml:space="preserve">Guía de inicio para administradores</w:t>
      </w:r>
    </w:p>
    <w:p>
      <w:pPr>
        <w:spacing w:after="120"/>
      </w:pPr>
      <w:r>
        <w:rPr>
          <w:color w:val="5C6B64"/>
          <w:sz w:val="22"/>
          <w:szCs w:val="22"/>
        </w:rPr>
        <w:t xml:space="preserve">El recorrido en el orden en que conviene aprenderlo: del panorama general a la operación diaria, y de ahí al cierre contable del mes.</w:t>
      </w:r>
    </w:p>
    <w:p>
      <w:pPr>
        <w:pBdr>
          <w:bottom w:val="single" w:color="D8DED8" w:sz="6" w:space="8"/>
        </w:pBdr>
        <w:spacing w:after="220"/>
      </w:pPr>
      <w:r>
        <w:rPr>
          <w:color w:val="5C6B64"/>
          <w:sz w:val="18"/>
          <w:szCs w:val="18"/>
        </w:rPr>
        <w:t xml:space="preserve">Rol: Administrador    ·    Acceso: residencial.ovasv.com    ·    Alcance: visión completa del sistema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C1B3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9FDCC4"/>
                <w:spacing w:val="30"/>
                <w:sz w:val="16"/>
                <w:szCs w:val="16"/>
              </w:rPr>
              <w:t xml:space="preserve">EL CICLO DE CADA MES, EN SEIS PASOS</w:t>
            </w:r>
          </w:p>
          <w:p>
            <w:r>
              <w:rPr>
                <w:b/>
                <w:bCs/>
                <w:color w:val="F2F7F3"/>
                <w:sz w:val="21"/>
                <w:szCs w:val="21"/>
              </w:rPr>
              <w:t xml:space="preserve">1. Generar cargos  →  2. Registrar pagos  →  3. Cobrar morosos  →  4. Registrar gastos  →  5. Revisar libro de caja  →  6. Cerrar el mes</w:t>
            </w:r>
          </w:p>
        </w:tc>
      </w:tr>
    </w:tbl>
    <w:p>
      <w:pPr>
        <w:spacing w:after="1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1.  </w:t>
      </w:r>
      <w:r>
        <w:rPr>
          <w:b/>
          <w:bCs/>
          <w:color w:val="0C1B30"/>
          <w:sz w:val="26"/>
          <w:szCs w:val="26"/>
        </w:rPr>
        <w:t xml:space="preserve">Ingreso y panorama general</w:t>
      </w:r>
    </w:p>
    <w:p>
      <w:pPr>
        <w:spacing w:after="60"/>
      </w:pPr>
      <w:r>
        <w:rPr>
          <w:color w:val="222E28"/>
          <w:sz w:val="21"/>
          <w:szCs w:val="21"/>
        </w:rPr>
        <w:t xml:space="preserve">Entra con tu correo y contraseña. El Dashboard es la pantalla principal: muestra lo cobrado, lo pendiente y gastos vs. presupuesto. Cambia el período (mes/año) arriba para ver cualquier mes.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Login  ·  Dashboard  ·  Selector de período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Empieza aquí para entender “cómo va el residencial” sin entrar a los detalles.</w:t>
            </w:r>
          </w:p>
        </w:tc>
      </w:tr>
    </w:tbl>
    <w:p>
      <w:pPr>
        <w:spacing w:after="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2.  </w:t>
      </w:r>
      <w:r>
        <w:rPr>
          <w:b/>
          <w:bCs/>
          <w:color w:val="0C1B30"/>
          <w:sz w:val="26"/>
          <w:szCs w:val="26"/>
        </w:rPr>
        <w:t xml:space="preserve">Residentes y unidades</w:t>
      </w:r>
    </w:p>
    <w:p>
      <w:pPr>
        <w:spacing w:after="60"/>
      </w:pPr>
      <w:r>
        <w:rPr>
          <w:color w:val="222E28"/>
          <w:sz w:val="21"/>
          <w:szCs w:val="21"/>
        </w:rPr>
        <w:t xml:space="preserve">Listado de propietarios y sus propiedades. Aquí das de alta gente nueva, actualizas teléfono y correo, y ves el mapa del complejo.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Residentes  ·  Mapa del complejo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Es la base de todo: quién es dueño de qué. Si esto está al día, lo demás cuadra.</w:t>
            </w:r>
          </w:p>
        </w:tc>
      </w:tr>
    </w:tbl>
    <w:p>
      <w:pPr>
        <w:spacing w:after="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3.  </w:t>
      </w:r>
      <w:r>
        <w:rPr>
          <w:b/>
          <w:bCs/>
          <w:color w:val="0C1B30"/>
          <w:sz w:val="26"/>
          <w:szCs w:val="26"/>
        </w:rPr>
        <w:t xml:space="preserve">Configuración esencial</w:t>
      </w:r>
    </w:p>
    <w:p>
      <w:pPr>
        <w:spacing w:after="60"/>
      </w:pPr>
      <w:r>
        <w:rPr>
          <w:color w:val="222E28"/>
          <w:sz w:val="21"/>
          <w:szCs w:val="21"/>
        </w:rPr>
        <w:t xml:space="preserve">Las reglas del sistema: tarifas (cuánto se cobra por concepto), estados de unidad y catálogos (bloques, calles, bancos), e items de presupuesto.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Tarifas  ·  Estados / Catálogos  ·  Items de presupuesto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Se configura una vez y casi no se toca. De aquí salen los montos que se cobran.</w:t>
            </w:r>
          </w:p>
        </w:tc>
      </w:tr>
    </w:tbl>
    <w:p>
      <w:pPr>
        <w:spacing w:after="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4.  </w:t>
      </w:r>
      <w:r>
        <w:rPr>
          <w:b/>
          <w:bCs/>
          <w:color w:val="0C1B30"/>
          <w:sz w:val="26"/>
          <w:szCs w:val="26"/>
        </w:rPr>
        <w:t xml:space="preserve">Facturación: generar los cargos del mes</w:t>
      </w:r>
    </w:p>
    <w:p>
      <w:pPr>
        <w:spacing w:after="60"/>
      </w:pPr>
      <w:r>
        <w:rPr>
          <w:color w:val="222E28"/>
          <w:sz w:val="21"/>
          <w:szCs w:val="21"/>
        </w:rPr>
        <w:t xml:space="preserve">En Pagos y facturación → Generar se crean automáticamente los cargos del mes para todas las unidades según sus tarifas. Los cobros variables (ej. agua) se agregan como cargo manual.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Generar  ·  Cargo manual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Primer paso del ciclo mensual: “emitir la cuenta” a cada propietario.</w:t>
            </w:r>
          </w:p>
        </w:tc>
      </w:tr>
    </w:tbl>
    <w:p>
      <w:pPr>
        <w:spacing w:after="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5.  </w:t>
      </w:r>
      <w:r>
        <w:rPr>
          <w:b/>
          <w:bCs/>
          <w:color w:val="0C1B30"/>
          <w:sz w:val="26"/>
          <w:szCs w:val="26"/>
        </w:rPr>
        <w:t xml:space="preserve">Registrar los pagos recibidos</w:t>
      </w:r>
    </w:p>
    <w:p>
      <w:pPr>
        <w:spacing w:after="60"/>
      </w:pPr>
      <w:r>
        <w:rPr>
          <w:color w:val="222E28"/>
          <w:sz w:val="21"/>
          <w:szCs w:val="21"/>
        </w:rPr>
        <w:t xml:space="preserve">Cuando un propietario paga, registras monto, método y adjuntas el comprobante. El sistema aplica el pago a los cargos pendientes y actualiza el saldo solo. Puedes imprimir o enviar el recibo.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Registrar pago  ·  Comprobante  ·  Recibos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El corazón del día a día. Siempre adjunta el comprobante del pago.</w:t>
            </w:r>
          </w:p>
        </w:tc>
      </w:tr>
    </w:tbl>
    <w:p>
      <w:pPr>
        <w:spacing w:after="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6.  </w:t>
      </w:r>
      <w:r>
        <w:rPr>
          <w:b/>
          <w:bCs/>
          <w:color w:val="0C1B30"/>
          <w:sz w:val="26"/>
          <w:szCs w:val="26"/>
        </w:rPr>
        <w:t xml:space="preserve">Cobranza — a quien debe</w:t>
      </w:r>
    </w:p>
    <w:p>
      <w:pPr>
        <w:spacing w:after="60"/>
      </w:pPr>
      <w:r>
        <w:rPr>
          <w:color w:val="222E28"/>
          <w:sz w:val="21"/>
          <w:szCs w:val="21"/>
        </w:rPr>
        <w:t xml:space="preserve">Lista de morosos con su saldo. Envía recordatorios por WhatsApp o correo y registra gestiones (llamadas, visitas, promesas de pago). El icono de historial se resalta cuando la unidad ya tiene gestiones; la Bitácora guarda todo.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Cobranza  ·  Gestión  ·  Bitácora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Distingue dos cosas: enviar un recordatorio ≠ registrar una gestión con su resultado.</w:t>
            </w:r>
          </w:p>
        </w:tc>
      </w:tr>
    </w:tbl>
    <w:p>
      <w:pPr>
        <w:spacing w:after="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7.  </w:t>
      </w:r>
      <w:r>
        <w:rPr>
          <w:b/>
          <w:bCs/>
          <w:color w:val="0C1B30"/>
          <w:sz w:val="26"/>
          <w:szCs w:val="26"/>
        </w:rPr>
        <w:t xml:space="preserve">Gastos y presupuesto</w:t>
      </w:r>
    </w:p>
    <w:p>
      <w:pPr>
        <w:spacing w:after="60"/>
      </w:pPr>
      <w:r>
        <w:rPr>
          <w:color w:val="222E28"/>
          <w:sz w:val="21"/>
          <w:szCs w:val="21"/>
        </w:rPr>
        <w:t xml:space="preserve">Registras cada egreso (proveedor, monto, fecha, categoría) y adjuntas el escaneo del comprobante. El presupuesto compara lo gastado contra lo planeado por categoría.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Gastos  ·  Presupuesto  ·  Comprobante escaneado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La otra mitad de las finanzas: lo que sale.</w:t>
            </w:r>
          </w:p>
        </w:tc>
      </w:tr>
    </w:tbl>
    <w:p>
      <w:pPr>
        <w:spacing w:after="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8.  </w:t>
      </w:r>
      <w:r>
        <w:rPr>
          <w:b/>
          <w:bCs/>
          <w:color w:val="0C1B30"/>
          <w:sz w:val="26"/>
          <w:szCs w:val="26"/>
        </w:rPr>
        <w:t xml:space="preserve">Libro de caja y cierre mensual</w:t>
      </w:r>
    </w:p>
    <w:p>
      <w:pPr>
        <w:spacing w:after="60"/>
      </w:pPr>
      <w:r>
        <w:rPr>
          <w:color w:val="222E28"/>
          <w:sz w:val="21"/>
          <w:szCs w:val="21"/>
        </w:rPr>
        <w:t xml:space="preserve">El libro de caja es el kardex del mes: saldo inicial, ingresos y egresos por fecha, y saldo final (imprimible en PDF). Al cerrar el mes adjuntas el estado de cuenta del banco; tras cerrar, nadie puede modificar gastos, cargos ni pagos de ese mes, y se envía un correo a la directiva con el detalle.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Libro de caja  ·  Cerrar mes  ·  Conciliación bancaria (PDF)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Concepto clave de control: cerrar = congelar el mes para que no se toque. Solo el superadministrador puede reabrirlo.</w:t>
            </w:r>
          </w:p>
        </w:tc>
      </w:tr>
    </w:tbl>
    <w:p>
      <w:pPr>
        <w:spacing w:after="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9.  </w:t>
      </w:r>
      <w:r>
        <w:rPr>
          <w:b/>
          <w:bCs/>
          <w:color w:val="0C1B30"/>
          <w:sz w:val="26"/>
          <w:szCs w:val="26"/>
        </w:rPr>
        <w:t xml:space="preserve">Avisos y comunicación</w:t>
      </w:r>
    </w:p>
    <w:p>
      <w:pPr>
        <w:spacing w:after="60"/>
      </w:pPr>
      <w:r>
        <w:rPr>
          <w:color w:val="222E28"/>
          <w:sz w:val="21"/>
          <w:szCs w:val="21"/>
        </w:rPr>
        <w:t xml:space="preserve">Avisos: mensajes masivos a propietarios por WhatsApp o correo. Notificaciones / Buzón: los mensajes que llegan de los propietarios.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Avisos  ·  Buzón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Avisos es comunicación general; Cobranza es específica de deudas.</w:t>
            </w:r>
          </w:p>
        </w:tc>
      </w:tr>
    </w:tbl>
    <w:p>
      <w:pPr>
        <w:spacing w:after="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10.  </w:t>
      </w:r>
      <w:r>
        <w:rPr>
          <w:b/>
          <w:bCs/>
          <w:color w:val="0C1B30"/>
          <w:sz w:val="26"/>
          <w:szCs w:val="26"/>
        </w:rPr>
        <w:t xml:space="preserve">Usuarios y accesos</w:t>
      </w:r>
    </w:p>
    <w:p>
      <w:pPr>
        <w:spacing w:after="60"/>
      </w:pPr>
      <w:r>
        <w:rPr>
          <w:color w:val="222E28"/>
          <w:sz w:val="21"/>
          <w:szCs w:val="21"/>
        </w:rPr>
        <w:t xml:space="preserve">Accesos: crear el acceso al portal para cada propietario. Usuarios (solo superadministrador): crear administradores y directiva, con su rol.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Accesos  ·  Usuarios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Define quién puede entrar y con qué permisos.</w:t>
            </w:r>
          </w:p>
        </w:tc>
      </w:tr>
    </w:tbl>
    <w:p>
      <w:pPr>
        <w:spacing w:after="60"/>
      </w:pPr>
    </w:p>
    <w:p>
      <w:pPr>
        <w:pStyle w:val="Heading2"/>
        <w:spacing w:after="60" w:before="220"/>
      </w:pPr>
      <w:r>
        <w:rPr>
          <w:b/>
          <w:bCs/>
          <w:color w:val="0B6E4F"/>
          <w:sz w:val="26"/>
          <w:szCs w:val="26"/>
        </w:rPr>
        <w:t xml:space="preserve">11.  </w:t>
      </w:r>
      <w:r>
        <w:rPr>
          <w:b/>
          <w:bCs/>
          <w:color w:val="0C1B30"/>
          <w:sz w:val="26"/>
          <w:szCs w:val="26"/>
        </w:rPr>
        <w:t xml:space="preserve">Reportes y auditoría</w:t>
      </w:r>
    </w:p>
    <w:p>
      <w:pPr>
        <w:spacing w:after="60"/>
      </w:pPr>
      <w:r>
        <w:rPr>
          <w:color w:val="222E28"/>
          <w:sz w:val="21"/>
          <w:szCs w:val="21"/>
        </w:rPr>
        <w:t xml:space="preserve">Reporte de gastos, libro de caja en PDF y estados de cuenta por unidad. Los escaneos quedan organizados en carpetas (gastos/, cierres/) con el mes-año en el nombre, listos para una revisión externa.</w:t>
      </w:r>
    </w:p>
    <w:p>
      <w:pPr>
        <w:spacing w:after="40"/>
      </w:pPr>
      <w:r>
        <w:rPr>
          <w:b/>
          <w:bCs/>
          <w:color w:val="5C6B64"/>
          <w:sz w:val="18"/>
          <w:szCs w:val="18"/>
        </w:rPr>
        <w:t xml:space="preserve">Dónde: </w:t>
      </w:r>
      <w:r>
        <w:rPr>
          <w:color w:val="5C6B64"/>
          <w:sz w:val="18"/>
          <w:szCs w:val="18"/>
        </w:rPr>
        <w:t xml:space="preserve">Reporte de gastos  ·  Estados de cuenta  ·  Escaneos organizados</w:t>
      </w:r>
    </w:p>
    <w:tbl>
      <w:tblPr>
        <w:tblW w:type="dxa" w:w="9360"/>
        <w:tblBorders>
          <w:top w:val="none"/>
          <w:left w:val="single" w:color="0B6E4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A5B42"/>
                <w:sz w:val="19"/>
                <w:szCs w:val="19"/>
              </w:rPr>
              <w:t xml:space="preserve">Cierra la capacitación mostrando de dónde sacar la información para auditorías.</w:t>
            </w:r>
          </w:p>
        </w:tc>
      </w:tr>
    </w:tbl>
    <w:p>
      <w:pPr>
        <w:spacing w:after="60"/>
      </w:pPr>
    </w:p>
    <w:p>
      <w:pPr>
        <w:pBdr>
          <w:top w:val="single" w:color="D8DED8" w:sz="6" w:space="8"/>
        </w:pBdr>
        <w:spacing w:before="240"/>
      </w:pPr>
      <w:r>
        <w:rPr>
          <w:color w:val="5C6B64"/>
          <w:sz w:val="17"/>
          <w:szCs w:val="17"/>
        </w:rPr>
        <w:t xml:space="preserve">OVA Residencial · Guía para administradores. Consejo: enseña siguiendo el ciclo mensual de seis pasos.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inicio — OVA Residencial</dc:title>
  <dc:creator>OVA Residencial</dc:creator>
  <cp:lastModifiedBy>Un-named</cp:lastModifiedBy>
  <cp:revision>1</cp:revision>
  <dcterms:created xsi:type="dcterms:W3CDTF">2026-07-20T18:18:20.116Z</dcterms:created>
  <dcterms:modified xsi:type="dcterms:W3CDTF">2026-07-20T18:18:20.116Z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